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keepNext w:val="0"/>
        <w:keepLines w:val="0"/>
        <w:pageBreakBefore w:val="0"/>
        <w:widowControl w:val="0"/>
        <w:kinsoku/>
        <w:wordWrap/>
        <w:overflowPunct/>
        <w:topLinePunct w:val="0"/>
        <w:bidi w:val="0"/>
        <w:snapToGrid/>
        <w:spacing w:afterLines="0" w:line="620" w:lineRule="exact"/>
        <w:jc w:val="both"/>
        <w:textAlignment w:val="auto"/>
        <w:rPr>
          <w:rFonts w:hint="default" w:ascii="Times New Roman" w:hAnsi="Times New Roman" w:cs="Times New Roman"/>
          <w:lang w:val="en-US" w:eastAsia="zh-CN"/>
        </w:rPr>
      </w:pPr>
    </w:p>
    <w:p>
      <w:pPr>
        <w:pStyle w:val="31"/>
        <w:keepNext w:val="0"/>
        <w:keepLines w:val="0"/>
        <w:pageBreakBefore w:val="0"/>
        <w:widowControl w:val="0"/>
        <w:kinsoku/>
        <w:wordWrap/>
        <w:overflowPunct/>
        <w:topLinePunct w:val="0"/>
        <w:bidi w:val="0"/>
        <w:snapToGrid/>
        <w:spacing w:afterLines="0" w:line="620" w:lineRule="exact"/>
        <w:jc w:val="both"/>
        <w:textAlignment w:val="auto"/>
        <w:rPr>
          <w:rFonts w:hint="default" w:ascii="Times New Roman" w:hAnsi="Times New Roman" w:cs="Times New Roman"/>
          <w:lang w:val="en-US" w:eastAsia="zh-CN"/>
        </w:rPr>
      </w:pPr>
    </w:p>
    <w:p>
      <w:pPr>
        <w:pStyle w:val="31"/>
        <w:keepNext w:val="0"/>
        <w:keepLines w:val="0"/>
        <w:pageBreakBefore w:val="0"/>
        <w:widowControl w:val="0"/>
        <w:kinsoku/>
        <w:wordWrap/>
        <w:overflowPunct/>
        <w:topLinePunct w:val="0"/>
        <w:bidi w:val="0"/>
        <w:snapToGrid/>
        <w:spacing w:afterLines="0" w:line="620" w:lineRule="exact"/>
        <w:jc w:val="both"/>
        <w:textAlignment w:val="auto"/>
        <w:rPr>
          <w:rFonts w:hint="default" w:ascii="Times New Roman" w:hAnsi="Times New Roman" w:cs="Times New Roman"/>
          <w:lang w:eastAsia="zh-CN"/>
        </w:rPr>
      </w:pPr>
    </w:p>
    <w:p>
      <w:pPr>
        <w:pStyle w:val="31"/>
        <w:keepNext w:val="0"/>
        <w:keepLines w:val="0"/>
        <w:pageBreakBefore w:val="0"/>
        <w:widowControl w:val="0"/>
        <w:kinsoku/>
        <w:wordWrap/>
        <w:overflowPunct/>
        <w:topLinePunct w:val="0"/>
        <w:bidi w:val="0"/>
        <w:snapToGrid/>
        <w:spacing w:afterLines="0" w:line="620" w:lineRule="exact"/>
        <w:jc w:val="both"/>
        <w:textAlignment w:val="auto"/>
        <w:rPr>
          <w:rFonts w:hint="default" w:ascii="Times New Roman" w:hAnsi="Times New Roman" w:cs="Times New Roman"/>
          <w:lang w:eastAsia="zh-CN"/>
        </w:rPr>
      </w:pPr>
    </w:p>
    <w:p>
      <w:pPr>
        <w:keepNext w:val="0"/>
        <w:keepLines w:val="0"/>
        <w:pageBreakBefore w:val="0"/>
        <w:widowControl w:val="0"/>
        <w:tabs>
          <w:tab w:val="left" w:pos="1665"/>
        </w:tabs>
        <w:kinsoku/>
        <w:wordWrap/>
        <w:overflowPunct/>
        <w:topLinePunct w:val="0"/>
        <w:autoSpaceDE/>
        <w:autoSpaceDN/>
        <w:bidi w:val="0"/>
        <w:adjustRightInd/>
        <w:snapToGrid/>
        <w:spacing w:beforeAutospacing="0" w:afterAutospacing="0" w:line="620" w:lineRule="exact"/>
        <w:ind w:left="0" w:leftChars="0" w:firstLine="0" w:firstLineChars="0"/>
        <w:textAlignment w:val="auto"/>
        <w:outlineLvl w:val="9"/>
        <w:rPr>
          <w:rFonts w:hint="default" w:ascii="Times New Roman" w:hAnsi="Times New Roman" w:cs="Times New Roman"/>
          <w:color w:val="000000"/>
        </w:rPr>
      </w:pPr>
      <w:r>
        <w:rPr>
          <w:rFonts w:hint="default" w:ascii="Times New Roman" w:hAnsi="Times New Roman" w:cs="Times New Roman"/>
          <w:color w:val="000000"/>
        </w:rPr>
        <w:pict>
          <v:shape id="_x0000_s2050" o:spid="_x0000_s2050" o:spt="136" type="#_x0000_t136" style="position:absolute;left:0pt;margin-left:33.7pt;margin-top:14.4pt;height:42.8pt;width:385.25pt;z-index:251659264;mso-width-relative:page;mso-height-relative:page;" fillcolor="#FF0000" filled="t" stroked="t" coordsize="21600,21600" adj="10800">
            <v:path/>
            <v:fill on="t" color2="#FFFFFF" focussize="0,0"/>
            <v:stroke color="#FF0000"/>
            <v:imagedata o:title=""/>
            <o:lock v:ext="edit" aspectratio="f"/>
            <v:textpath on="t" fitshape="t" fitpath="t" trim="t" xscale="f" string="三亚崖州湾科技城管理局文件" style="font-family:宋体;font-size:32pt;font-weight:bold;v-rotate-letters:f;v-same-letter-heights:f;v-text-align:center;v-text-spacing:58985f;"/>
          </v:shape>
        </w:pict>
      </w:r>
    </w:p>
    <w:p>
      <w:pPr>
        <w:keepNext w:val="0"/>
        <w:keepLines w:val="0"/>
        <w:pageBreakBefore w:val="0"/>
        <w:widowControl w:val="0"/>
        <w:tabs>
          <w:tab w:val="left" w:pos="1665"/>
        </w:tabs>
        <w:kinsoku/>
        <w:wordWrap/>
        <w:overflowPunct/>
        <w:topLinePunct w:val="0"/>
        <w:autoSpaceDE/>
        <w:autoSpaceDN/>
        <w:bidi w:val="0"/>
        <w:adjustRightInd/>
        <w:snapToGrid/>
        <w:spacing w:beforeAutospacing="0" w:afterAutospacing="0" w:line="620" w:lineRule="exact"/>
        <w:ind w:left="0" w:leftChars="0" w:firstLine="0" w:firstLineChars="0"/>
        <w:textAlignment w:val="auto"/>
        <w:outlineLvl w:val="9"/>
        <w:rPr>
          <w:rFonts w:hint="default" w:ascii="Times New Roman" w:hAnsi="Times New Roman" w:cs="Times New Roman"/>
          <w:color w:val="000000"/>
        </w:rPr>
      </w:pPr>
    </w:p>
    <w:p>
      <w:pPr>
        <w:keepNext w:val="0"/>
        <w:keepLines w:val="0"/>
        <w:pageBreakBefore w:val="0"/>
        <w:widowControl w:val="0"/>
        <w:kinsoku/>
        <w:wordWrap/>
        <w:overflowPunct/>
        <w:topLinePunct w:val="0"/>
        <w:autoSpaceDE/>
        <w:autoSpaceDN/>
        <w:bidi w:val="0"/>
        <w:adjustRightInd/>
        <w:snapToGrid/>
        <w:spacing w:beforeAutospacing="0" w:afterAutospacing="0" w:line="620" w:lineRule="exact"/>
        <w:ind w:left="0" w:leftChars="0" w:firstLine="0" w:firstLineChars="0"/>
        <w:textAlignment w:val="auto"/>
        <w:outlineLvl w:val="9"/>
        <w:rPr>
          <w:rFonts w:hint="default" w:ascii="Times New Roman" w:hAnsi="Times New Roman" w:cs="Times New Roman" w:eastAsiaTheme="minorEastAsia"/>
          <w:color w:val="000000"/>
          <w:lang w:val="en-US" w:eastAsia="zh-CN"/>
        </w:rPr>
      </w:pPr>
    </w:p>
    <w:p>
      <w:pPr>
        <w:pStyle w:val="31"/>
        <w:keepNext w:val="0"/>
        <w:keepLines w:val="0"/>
        <w:pageBreakBefore w:val="0"/>
        <w:widowControl w:val="0"/>
        <w:kinsoku/>
        <w:wordWrap/>
        <w:overflowPunct/>
        <w:topLinePunct w:val="0"/>
        <w:bidi w:val="0"/>
        <w:snapToGrid/>
        <w:spacing w:afterLines="0" w:line="620" w:lineRule="exact"/>
        <w:jc w:val="both"/>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0" w:firstLineChars="0"/>
        <w:jc w:val="center"/>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三</w:t>
      </w:r>
      <w:r>
        <w:rPr>
          <w:rFonts w:hint="default" w:ascii="Times New Roman" w:hAnsi="Times New Roman" w:eastAsia="仿宋_GB2312" w:cs="Times New Roman"/>
          <w:sz w:val="32"/>
          <w:szCs w:val="32"/>
          <w:lang w:val="en-US" w:eastAsia="zh-CN"/>
        </w:rPr>
        <w:t>科技城</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w:t>
      </w:r>
      <w:r>
        <w:rPr>
          <w:rFonts w:hint="eastAsia" w:cs="Times New Roman"/>
          <w:sz w:val="32"/>
          <w:szCs w:val="32"/>
          <w:lang w:val="en-US" w:eastAsia="zh-CN"/>
        </w:rPr>
        <w:t>6</w:t>
      </w:r>
      <w:r>
        <w:rPr>
          <w:rFonts w:hint="default" w:ascii="Times New Roman" w:hAnsi="Times New Roman" w:eastAsia="仿宋_GB2312" w:cs="Times New Roman"/>
          <w:sz w:val="32"/>
          <w:szCs w:val="32"/>
        </w:rPr>
        <w:t>〕</w:t>
      </w:r>
      <w:r>
        <w:rPr>
          <w:rFonts w:hint="eastAsia" w:cs="Times New Roman"/>
          <w:sz w:val="32"/>
          <w:szCs w:val="32"/>
          <w:lang w:val="en-US" w:eastAsia="zh-CN"/>
        </w:rPr>
        <w:t>54</w:t>
      </w:r>
      <w:r>
        <w:rPr>
          <w:rFonts w:hint="default" w:ascii="Times New Roman" w:hAnsi="Times New Roman" w:eastAsia="仿宋_GB2312" w:cs="Times New Roman"/>
          <w:sz w:val="32"/>
          <w:szCs w:val="32"/>
        </w:rPr>
        <w:t>号</w:t>
      </w:r>
    </w:p>
    <w:p>
      <w:pPr>
        <w:pStyle w:val="2"/>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color w:val="auto"/>
          <w:sz w:val="44"/>
          <w:szCs w:val="44"/>
        </w:rPr>
      </w:pPr>
      <w:r>
        <w:rPr>
          <w:rFonts w:hint="default"/>
          <w:color w:val="auto"/>
          <w:sz w:val="44"/>
          <w:szCs w:val="44"/>
        </w:rPr>
        <mc:AlternateContent>
          <mc:Choice Requires="wps">
            <w:drawing>
              <wp:anchor distT="0" distB="0" distL="114300" distR="114300" simplePos="0" relativeHeight="251658240" behindDoc="0" locked="0" layoutInCell="1" allowOverlap="1">
                <wp:simplePos x="0" y="0"/>
                <wp:positionH relativeFrom="column">
                  <wp:posOffset>200660</wp:posOffset>
                </wp:positionH>
                <wp:positionV relativeFrom="paragraph">
                  <wp:posOffset>0</wp:posOffset>
                </wp:positionV>
                <wp:extent cx="5285105" cy="0"/>
                <wp:effectExtent l="0" t="9525" r="10795" b="9525"/>
                <wp:wrapNone/>
                <wp:docPr id="1" name="直接连接符 1"/>
                <wp:cNvGraphicFramePr/>
                <a:graphic xmlns:a="http://schemas.openxmlformats.org/drawingml/2006/main">
                  <a:graphicData uri="http://schemas.microsoft.com/office/word/2010/wordprocessingShape">
                    <wps:wsp>
                      <wps:cNvCnPr/>
                      <wps:spPr>
                        <a:xfrm>
                          <a:off x="0" y="0"/>
                          <a:ext cx="5285105" cy="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8pt;margin-top:0pt;height:0pt;width:416.15pt;z-index:251658240;mso-width-relative:page;mso-height-relative:page;" filled="f" stroked="t" coordsize="21600,21600" o:gfxdata="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l+H+TUAAAABAEAAA8AAAAAAAAAAQAgAAAAIgAAAGRycy9kb3ducmV2LnhtbFBLAQIU&#10;ABQAAAAIAIdO4kBmx2ef9wEAAOUDAAAOAAAAAAAAAAEAIAAAACMBAABkcnMvZTJvRG9jLnhtbFBL&#10;BQYAAAAABgAGAFkBAACMBQAAAAA=&#10;">
                <v:fill on="f" focussize="0,0"/>
                <v:stroke weight="1.5pt" color="#FF0000" joinstyle="round"/>
                <v:imagedata o:title=""/>
                <o:lock v:ext="edit" aspectratio="f"/>
              </v:line>
            </w:pict>
          </mc:Fallback>
        </mc:AlternateContent>
      </w:r>
      <w:bookmarkStart w:id="0" w:name="Content"/>
      <w:bookmarkEnd w:id="0"/>
      <w:bookmarkStart w:id="1" w:name="copy_to"/>
      <w:bookmarkEnd w:id="1"/>
    </w:p>
    <w:p>
      <w:pPr>
        <w:pStyle w:val="2"/>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color w:val="auto"/>
          <w:sz w:val="44"/>
          <w:szCs w:val="44"/>
        </w:rPr>
      </w:pPr>
      <w:r>
        <w:rPr>
          <w:rFonts w:hint="eastAsia"/>
          <w:color w:val="auto"/>
          <w:sz w:val="44"/>
          <w:szCs w:val="44"/>
        </w:rPr>
        <w:t>三亚崖州湾科技城管理局</w:t>
      </w:r>
    </w:p>
    <w:p>
      <w:pPr>
        <w:pStyle w:val="2"/>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color w:val="auto"/>
          <w:sz w:val="44"/>
          <w:szCs w:val="44"/>
        </w:rPr>
      </w:pPr>
      <w:r>
        <w:rPr>
          <w:rFonts w:hint="eastAsia"/>
          <w:color w:val="auto"/>
          <w:sz w:val="44"/>
          <w:szCs w:val="44"/>
        </w:rPr>
        <w:t>关于印发《三亚崖州湾科技城高新区</w:t>
      </w:r>
    </w:p>
    <w:p>
      <w:pPr>
        <w:pStyle w:val="2"/>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color w:val="auto"/>
          <w:sz w:val="44"/>
          <w:szCs w:val="44"/>
        </w:rPr>
      </w:pPr>
      <w:r>
        <w:rPr>
          <w:rFonts w:hint="eastAsia"/>
          <w:color w:val="auto"/>
          <w:sz w:val="44"/>
          <w:szCs w:val="44"/>
        </w:rPr>
        <w:t>关于促进科技型企业高质量发展的若干措施</w:t>
      </w:r>
    </w:p>
    <w:p>
      <w:pPr>
        <w:pStyle w:val="2"/>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color w:val="auto"/>
          <w:sz w:val="44"/>
          <w:szCs w:val="44"/>
        </w:rPr>
      </w:pPr>
      <w:r>
        <w:rPr>
          <w:rFonts w:hint="eastAsia"/>
          <w:color w:val="auto"/>
          <w:sz w:val="44"/>
          <w:szCs w:val="44"/>
        </w:rPr>
        <w:t>申报指南》的通知</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ascii="等线" w:hAnsi="等线" w:cs="等线"/>
          <w:snapToGrid/>
          <w:color w:val="auto"/>
          <w:kern w:val="2"/>
          <w:szCs w:val="22"/>
          <w14:ligatures w14:val="none"/>
        </w:rPr>
      </w:pPr>
      <w:r>
        <w:rPr>
          <w:rFonts w:cs="Times New Roman"/>
          <w:snapToGrid/>
          <w:color w:val="auto"/>
          <w:kern w:val="0"/>
          <w:szCs w:val="32"/>
          <w14:ligatures w14:val="none"/>
        </w:rPr>
        <w:t>三亚</w:t>
      </w:r>
      <w:r>
        <w:rPr>
          <w:rFonts w:ascii="等线" w:hAnsi="等线" w:cs="等线"/>
          <w:snapToGrid/>
          <w:color w:val="auto"/>
          <w:kern w:val="2"/>
          <w:szCs w:val="22"/>
          <w14:ligatures w14:val="none"/>
        </w:rPr>
        <w:t>崖州湾科技城高</w:t>
      </w:r>
      <w:r>
        <w:rPr>
          <w:rFonts w:hint="eastAsia" w:ascii="等线" w:hAnsi="等线" w:cs="等线"/>
          <w:snapToGrid/>
          <w:color w:val="auto"/>
          <w:kern w:val="2"/>
          <w:szCs w:val="22"/>
          <w14:ligatures w14:val="none"/>
        </w:rPr>
        <w:t>新区</w:t>
      </w:r>
      <w:r>
        <w:rPr>
          <w:rFonts w:ascii="等线" w:hAnsi="等线" w:cs="等线"/>
          <w:snapToGrid/>
          <w:color w:val="auto"/>
          <w:kern w:val="2"/>
          <w:szCs w:val="22"/>
          <w14:ligatures w14:val="none"/>
        </w:rPr>
        <w:t>各有关单位：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napToGrid/>
          <w:color w:val="auto"/>
          <w:kern w:val="2"/>
          <w:szCs w:val="32"/>
          <w14:ligatures w14:val="none"/>
        </w:rPr>
      </w:pPr>
      <w:r>
        <w:rPr>
          <w:rFonts w:hint="default" w:ascii="Times New Roman" w:hAnsi="Times New Roman" w:eastAsia="仿宋_GB2312" w:cs="Times New Roman"/>
          <w:snapToGrid/>
          <w:color w:val="auto"/>
          <w:kern w:val="2"/>
          <w:szCs w:val="22"/>
          <w14:ligatures w14:val="none"/>
        </w:rPr>
        <w:t>为贯彻落实《三亚崖州湾科技城高新区关于促进科技型企业高质量发展的若干措施申报指南》</w:t>
      </w:r>
      <w:bookmarkStart w:id="12" w:name="_GoBack"/>
      <w:bookmarkEnd w:id="12"/>
      <w:r>
        <w:rPr>
          <w:rFonts w:hint="default" w:ascii="Times New Roman" w:hAnsi="Times New Roman" w:eastAsia="仿宋_GB2312" w:cs="Times New Roman"/>
          <w:snapToGrid/>
          <w:color w:val="auto"/>
          <w:kern w:val="2"/>
          <w:szCs w:val="22"/>
          <w14:ligatures w14:val="none"/>
        </w:rPr>
        <w:t>，加强对科技型企业的梯度培育和扶持，促进科技型企业向三亚崖州湾科技城高新区集聚发展，我局制定了《三亚崖州湾科技城高新区关于促进科技型企业高质量发展的若干措施申报指南》，现予以印发，自印发之日起生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both"/>
        <w:textAlignment w:val="auto"/>
        <w:rPr>
          <w:rFonts w:hint="default" w:ascii="Times New Roman" w:hAnsi="Times New Roman" w:eastAsia="仿宋_GB2312" w:cs="Times New Roman"/>
          <w:snapToGrid/>
          <w:color w:val="auto"/>
          <w:kern w:val="2"/>
          <w:szCs w:val="32"/>
          <w14:ligatures w14: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both"/>
        <w:textAlignment w:val="auto"/>
        <w:rPr>
          <w:rFonts w:hint="default" w:ascii="Times New Roman" w:hAnsi="Times New Roman" w:eastAsia="仿宋_GB2312" w:cs="Times New Roman"/>
          <w:snapToGrid/>
          <w:color w:val="auto"/>
          <w:kern w:val="0"/>
          <w:szCs w:val="32"/>
          <w14:ligatures w14: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both"/>
        <w:textAlignment w:val="auto"/>
        <w:rPr>
          <w:rFonts w:hint="default" w:ascii="Times New Roman" w:hAnsi="Times New Roman" w:eastAsia="仿宋_GB2312" w:cs="Times New Roman"/>
          <w:snapToGrid/>
          <w:color w:val="auto"/>
          <w:kern w:val="0"/>
          <w:szCs w:val="32"/>
          <w14:ligatures w14:val="none"/>
        </w:rPr>
      </w:pPr>
    </w:p>
    <w:p>
      <w:pPr>
        <w:keepNext w:val="0"/>
        <w:keepLines w:val="0"/>
        <w:pageBreakBefore w:val="0"/>
        <w:widowControl w:val="0"/>
        <w:kinsoku/>
        <w:wordWrap/>
        <w:overflowPunct/>
        <w:topLinePunct w:val="0"/>
        <w:autoSpaceDE/>
        <w:autoSpaceDN/>
        <w:bidi w:val="0"/>
        <w:adjustRightInd/>
        <w:snapToGrid/>
        <w:spacing w:line="600" w:lineRule="exact"/>
        <w:ind w:firstLine="4640" w:firstLineChars="1450"/>
        <w:jc w:val="both"/>
        <w:textAlignment w:val="auto"/>
        <w:rPr>
          <w:rFonts w:hint="default" w:ascii="Times New Roman" w:hAnsi="Times New Roman" w:eastAsia="仿宋_GB2312" w:cs="Times New Roman"/>
          <w:snapToGrid/>
          <w:color w:val="auto"/>
          <w:kern w:val="0"/>
          <w:szCs w:val="32"/>
          <w14:ligatures w14:val="none"/>
        </w:rPr>
      </w:pPr>
      <w:r>
        <w:rPr>
          <w:rFonts w:hint="default" w:ascii="Times New Roman" w:hAnsi="Times New Roman" w:eastAsia="仿宋_GB2312" w:cs="Times New Roman"/>
          <w:snapToGrid/>
          <w:color w:val="auto"/>
          <w:kern w:val="0"/>
          <w:szCs w:val="32"/>
          <w14:ligatures w14:val="none"/>
        </w:rPr>
        <w:t>三亚崖州湾科技城管理局</w:t>
      </w:r>
    </w:p>
    <w:p>
      <w:pPr>
        <w:keepNext w:val="0"/>
        <w:keepLines w:val="0"/>
        <w:pageBreakBefore w:val="0"/>
        <w:widowControl w:val="0"/>
        <w:kinsoku/>
        <w:wordWrap/>
        <w:overflowPunct/>
        <w:topLinePunct w:val="0"/>
        <w:autoSpaceDE/>
        <w:autoSpaceDN/>
        <w:bidi w:val="0"/>
        <w:adjustRightInd/>
        <w:snapToGrid/>
        <w:spacing w:line="600" w:lineRule="exact"/>
        <w:ind w:firstLine="5120" w:firstLineChars="1600"/>
        <w:jc w:val="both"/>
        <w:textAlignment w:val="auto"/>
        <w:rPr>
          <w:rFonts w:hint="default" w:ascii="Times New Roman" w:hAnsi="Times New Roman" w:eastAsia="仿宋_GB2312" w:cs="Times New Roman"/>
          <w:snapToGrid/>
          <w:color w:val="auto"/>
          <w:kern w:val="0"/>
          <w:szCs w:val="32"/>
          <w14:ligatures w14:val="none"/>
        </w:rPr>
      </w:pPr>
      <w:r>
        <w:rPr>
          <w:rFonts w:hint="default" w:ascii="Times New Roman" w:hAnsi="Times New Roman" w:eastAsia="仿宋_GB2312" w:cs="Times New Roman"/>
          <w:snapToGrid/>
          <w:color w:val="auto"/>
          <w:kern w:val="0"/>
          <w:szCs w:val="32"/>
          <w14:ligatures w14:val="none"/>
        </w:rPr>
        <w:t>2026年2月</w:t>
      </w:r>
      <w:r>
        <w:rPr>
          <w:rFonts w:hint="eastAsia" w:ascii="Times New Roman" w:hAnsi="Times New Roman" w:cs="Times New Roman"/>
          <w:snapToGrid/>
          <w:color w:val="auto"/>
          <w:kern w:val="0"/>
          <w:szCs w:val="32"/>
          <w:lang w:val="en-US" w:eastAsia="zh-CN"/>
          <w14:ligatures w14:val="none"/>
        </w:rPr>
        <w:t>28</w:t>
      </w:r>
      <w:r>
        <w:rPr>
          <w:rFonts w:hint="default" w:ascii="Times New Roman" w:hAnsi="Times New Roman" w:eastAsia="仿宋_GB2312" w:cs="Times New Roman"/>
          <w:snapToGrid/>
          <w:color w:val="auto"/>
          <w:kern w:val="0"/>
          <w:szCs w:val="32"/>
          <w14:ligatures w14:val="none"/>
        </w:rPr>
        <w:t>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napToGrid/>
          <w:color w:val="auto"/>
          <w:kern w:val="0"/>
          <w:szCs w:val="32"/>
          <w14:ligatures w14:val="none"/>
        </w:rPr>
      </w:pPr>
      <w:r>
        <w:rPr>
          <w:rFonts w:hint="default" w:ascii="Times New Roman" w:hAnsi="Times New Roman" w:eastAsia="仿宋_GB2312" w:cs="Times New Roman"/>
          <w:snapToGrid/>
          <w:color w:val="auto"/>
          <w:kern w:val="0"/>
          <w:szCs w:val="32"/>
          <w14:ligatures w14:val="none"/>
        </w:rPr>
        <w:t>（此件主动公开）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rPr>
        <w:sectPr>
          <w:headerReference r:id="rId3" w:type="default"/>
          <w:footerReference r:id="rId4" w:type="default"/>
          <w:pgSz w:w="11906" w:h="16838"/>
          <w:pgMar w:top="2098" w:right="1474" w:bottom="1984" w:left="1587" w:header="851" w:footer="1417" w:gutter="0"/>
          <w:pgNumType w:fmt="decimal" w:start="1"/>
          <w:cols w:space="0" w:num="1"/>
          <w:rtlGutter w:val="0"/>
          <w:docGrid w:type="lines" w:linePitch="315" w:charSpace="0"/>
        </w:sectPr>
      </w:pPr>
    </w:p>
    <w:p>
      <w:pPr>
        <w:keepNext w:val="0"/>
        <w:keepLines w:val="0"/>
        <w:pageBreakBefore w:val="0"/>
        <w:widowControl w:val="0"/>
        <w:kinsoku/>
        <w:wordWrap/>
        <w:overflowPunct w:val="0"/>
        <w:topLinePunct w:val="0"/>
        <w:autoSpaceDE/>
        <w:autoSpaceDN/>
        <w:bidi w:val="0"/>
        <w:adjustRightInd/>
        <w:snapToGrid/>
        <w:spacing w:after="0" w:line="578" w:lineRule="exact"/>
        <w:ind w:firstLine="0" w:firstLineChars="0"/>
        <w:jc w:val="center"/>
        <w:textAlignment w:val="auto"/>
        <w:outlineLvl w:val="0"/>
        <w:rPr>
          <w:rFonts w:eastAsia="方正小标宋_GBK" w:cs="Times New Roman"/>
          <w:sz w:val="44"/>
          <w:szCs w:val="44"/>
          <w14:ligatures w14:val="none"/>
        </w:rPr>
      </w:pPr>
      <w:bookmarkStart w:id="2" w:name="_Hlk212994527"/>
      <w:r>
        <w:rPr>
          <w:rFonts w:hint="eastAsia" w:eastAsia="方正小标宋_GBK" w:cs="Times New Roman"/>
          <w:sz w:val="44"/>
          <w:szCs w:val="44"/>
          <w14:ligatures w14:val="none"/>
        </w:rPr>
        <w:t>三亚崖州湾科技城</w:t>
      </w:r>
      <w:bookmarkStart w:id="3" w:name="_Hlk109722757"/>
      <w:r>
        <w:rPr>
          <w:rFonts w:hint="eastAsia" w:eastAsia="方正小标宋_GBK" w:cs="Times New Roman"/>
          <w:sz w:val="44"/>
          <w:szCs w:val="44"/>
          <w14:ligatures w14:val="none"/>
        </w:rPr>
        <w:t>高新区</w:t>
      </w:r>
      <w:bookmarkEnd w:id="3"/>
      <w:bookmarkStart w:id="4" w:name="_Hlk109677103"/>
    </w:p>
    <w:p>
      <w:pPr>
        <w:keepNext w:val="0"/>
        <w:keepLines w:val="0"/>
        <w:pageBreakBefore w:val="0"/>
        <w:widowControl w:val="0"/>
        <w:kinsoku/>
        <w:wordWrap/>
        <w:overflowPunct w:val="0"/>
        <w:topLinePunct w:val="0"/>
        <w:autoSpaceDE/>
        <w:autoSpaceDN/>
        <w:bidi w:val="0"/>
        <w:adjustRightInd/>
        <w:snapToGrid/>
        <w:spacing w:after="0" w:line="578" w:lineRule="exact"/>
        <w:ind w:firstLine="0" w:firstLineChars="0"/>
        <w:jc w:val="center"/>
        <w:textAlignment w:val="auto"/>
        <w:outlineLvl w:val="0"/>
        <w:rPr>
          <w:rFonts w:eastAsia="方正小标宋_GBK" w:cs="Times New Roman"/>
          <w:sz w:val="44"/>
          <w:szCs w:val="44"/>
          <w14:ligatures w14:val="none"/>
        </w:rPr>
      </w:pPr>
      <w:r>
        <w:rPr>
          <w:rFonts w:hint="eastAsia" w:eastAsia="方正小标宋_GBK" w:cs="Times New Roman"/>
          <w:sz w:val="44"/>
          <w:szCs w:val="44"/>
          <w14:ligatures w14:val="none"/>
        </w:rPr>
        <w:t>关于促进科技型企业高质量发展的若干措施</w:t>
      </w:r>
    </w:p>
    <w:p>
      <w:pPr>
        <w:keepNext w:val="0"/>
        <w:keepLines w:val="0"/>
        <w:pageBreakBefore w:val="0"/>
        <w:widowControl w:val="0"/>
        <w:kinsoku/>
        <w:wordWrap/>
        <w:overflowPunct w:val="0"/>
        <w:topLinePunct w:val="0"/>
        <w:autoSpaceDE/>
        <w:autoSpaceDN/>
        <w:bidi w:val="0"/>
        <w:adjustRightInd/>
        <w:snapToGrid/>
        <w:spacing w:after="0" w:line="578" w:lineRule="exact"/>
        <w:ind w:firstLine="0" w:firstLineChars="0"/>
        <w:jc w:val="center"/>
        <w:textAlignment w:val="auto"/>
        <w:rPr>
          <w:rFonts w:eastAsia="方正小标宋_GBK" w:cs="Times New Roman"/>
          <w:sz w:val="44"/>
          <w:szCs w:val="44"/>
          <w14:ligatures w14:val="none"/>
        </w:rPr>
      </w:pPr>
      <w:r>
        <w:rPr>
          <w:rFonts w:hint="eastAsia" w:eastAsia="方正小标宋_GBK" w:cs="Times New Roman"/>
          <w:sz w:val="44"/>
          <w:szCs w:val="44"/>
          <w14:ligatures w14:val="none"/>
        </w:rPr>
        <w:t>申报指南</w:t>
      </w:r>
    </w:p>
    <w:bookmarkEnd w:id="4"/>
    <w:p>
      <w:pPr>
        <w:keepNext w:val="0"/>
        <w:keepLines w:val="0"/>
        <w:pageBreakBefore w:val="0"/>
        <w:widowControl w:val="0"/>
        <w:kinsoku/>
        <w:wordWrap/>
        <w:overflowPunct w:val="0"/>
        <w:topLinePunct w:val="0"/>
        <w:autoSpaceDE/>
        <w:autoSpaceDN/>
        <w:bidi w:val="0"/>
        <w:adjustRightInd/>
        <w:snapToGrid/>
        <w:spacing w:after="0" w:line="578" w:lineRule="exact"/>
        <w:ind w:firstLine="0" w:firstLineChars="0"/>
        <w:jc w:val="center"/>
        <w:textAlignment w:val="auto"/>
        <w:rPr>
          <w:rFonts w:cs="Times New Roman"/>
          <w:sz w:val="44"/>
          <w:szCs w:val="44"/>
          <w14:ligatures w14:val="none"/>
        </w:rPr>
      </w:pPr>
    </w:p>
    <w:p>
      <w:pPr>
        <w:keepNext w:val="0"/>
        <w:keepLines w:val="0"/>
        <w:pageBreakBefore w:val="0"/>
        <w:widowControl w:val="0"/>
        <w:kinsoku/>
        <w:wordWrap/>
        <w:overflowPunct w:val="0"/>
        <w:topLinePunct w:val="0"/>
        <w:autoSpaceDE/>
        <w:autoSpaceDN/>
        <w:bidi w:val="0"/>
        <w:adjustRightInd/>
        <w:snapToGrid/>
        <w:spacing w:after="0" w:line="578" w:lineRule="exact"/>
        <w:ind w:firstLine="0" w:firstLineChars="0"/>
        <w:jc w:val="center"/>
        <w:textAlignment w:val="auto"/>
        <w:rPr>
          <w:rFonts w:eastAsia="黑体" w:cs="黑体"/>
          <w:szCs w:val="32"/>
          <w14:ligatures w14:val="none"/>
        </w:rPr>
      </w:pPr>
      <w:r>
        <w:rPr>
          <w:rFonts w:hint="eastAsia" w:eastAsia="黑体" w:cs="黑体"/>
          <w:szCs w:val="32"/>
          <w14:ligatures w14:val="none"/>
        </w:rPr>
        <w:t>第一章</w:t>
      </w:r>
      <w:r>
        <w:rPr>
          <w:rFonts w:eastAsia="黑体" w:cs="黑体"/>
          <w:szCs w:val="32"/>
          <w14:ligatures w14:val="none"/>
        </w:rPr>
        <w:t xml:space="preserve"> </w:t>
      </w:r>
      <w:r>
        <w:rPr>
          <w:rFonts w:hint="eastAsia" w:eastAsia="黑体" w:cs="黑体"/>
          <w:szCs w:val="32"/>
          <w14:ligatures w14:val="none"/>
        </w:rPr>
        <w:t>总则</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firstLineChars="0"/>
        <w:jc w:val="both"/>
        <w:textAlignment w:val="auto"/>
        <w:rPr>
          <w:rFonts w:cs="仿宋_GB2312"/>
          <w:szCs w:val="32"/>
          <w14:ligatures w14:val="none"/>
        </w:rPr>
      </w:pPr>
      <w:r>
        <w:rPr>
          <w:rFonts w:hint="eastAsia" w:eastAsia="楷体_GB2312" w:cs="仿宋_GB2312"/>
          <w:szCs w:val="32"/>
          <w14:ligatures w14:val="none"/>
        </w:rPr>
        <w:t>第一条</w:t>
      </w:r>
      <w:r>
        <w:rPr>
          <w:rFonts w:eastAsia="黑体" w:cs="黑体"/>
          <w:szCs w:val="32"/>
          <w14:ligatures w14:val="none"/>
        </w:rPr>
        <w:t xml:space="preserve"> </w:t>
      </w:r>
      <w:r>
        <w:rPr>
          <w:rFonts w:hint="eastAsia" w:cs="仿宋_GB2312"/>
          <w:szCs w:val="32"/>
          <w14:ligatures w14:val="none"/>
        </w:rPr>
        <w:t>为了贯彻落实《三亚崖州湾科技城高新区关于促进科技型企业高质量发展的若干措施》（以下简称《若干措施》），加强对科技型企业的梯度培育和扶持，促进三亚崖州湾科技城高新区（以下简称“科技城”）内实质性运营的科技型企业高质量发展，三亚崖州湾科技城管理局（以下简称“管理局”）结合科技城实际，制定本申报指南（以下简称“本指南”）。</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hint="eastAsia" w:ascii="仿宋_GB2312" w:hAnsi="仿宋_GB2312" w:cs="仿宋_GB2312"/>
          <w:szCs w:val="32"/>
          <w14:ligatures w14:val="none"/>
        </w:rPr>
      </w:pPr>
      <w:r>
        <w:rPr>
          <w:rFonts w:hint="eastAsia" w:ascii="楷体_GB2312" w:hAnsi="仿宋_GB2312" w:eastAsia="楷体_GB2312" w:cs="仿宋_GB2312"/>
          <w:szCs w:val="32"/>
          <w14:ligatures w14:val="none"/>
        </w:rPr>
        <w:t>第二条</w:t>
      </w:r>
      <w:r>
        <w:rPr>
          <w:rFonts w:hint="eastAsia" w:ascii="仿宋_GB2312" w:hAnsi="仿宋_GB2312" w:cs="仿宋_GB2312"/>
          <w:szCs w:val="32"/>
          <w14:ligatures w14:val="none"/>
        </w:rPr>
        <w:t xml:space="preserve"> 《若干措施》及本指南所称科技型企业包括获得国家高新技术企业认定、获得国家或海南省专精特新企业认定、获得海南省创新型中小企业认定以及纳入海南省高新技术企业培育库的企业。</w:t>
      </w:r>
    </w:p>
    <w:p>
      <w:pPr>
        <w:keepNext w:val="0"/>
        <w:keepLines w:val="0"/>
        <w:pageBreakBefore w:val="0"/>
        <w:widowControl w:val="0"/>
        <w:kinsoku/>
        <w:wordWrap/>
        <w:overflowPunct w:val="0"/>
        <w:topLinePunct w:val="0"/>
        <w:autoSpaceDE/>
        <w:autoSpaceDN/>
        <w:bidi w:val="0"/>
        <w:adjustRightInd/>
        <w:snapToGrid/>
        <w:spacing w:after="0" w:line="578" w:lineRule="exact"/>
        <w:ind w:firstLine="0" w:firstLineChars="0"/>
        <w:jc w:val="center"/>
        <w:textAlignment w:val="auto"/>
        <w:rPr>
          <w:rFonts w:eastAsia="黑体" w:cs="黑体"/>
          <w:szCs w:val="32"/>
          <w14:ligatures w14:val="none"/>
        </w:rPr>
      </w:pPr>
      <w:r>
        <w:rPr>
          <w:rFonts w:hint="eastAsia" w:eastAsia="黑体" w:cs="黑体"/>
          <w:szCs w:val="32"/>
          <w14:ligatures w14:val="none"/>
        </w:rPr>
        <w:t>第二章</w:t>
      </w:r>
      <w:r>
        <w:rPr>
          <w:rFonts w:eastAsia="黑体" w:cs="黑体"/>
          <w:szCs w:val="32"/>
          <w14:ligatures w14:val="none"/>
        </w:rPr>
        <w:t xml:space="preserve"> </w:t>
      </w:r>
      <w:r>
        <w:rPr>
          <w:rFonts w:hint="eastAsia" w:eastAsia="黑体" w:cs="黑体"/>
          <w:szCs w:val="32"/>
          <w14:ligatures w14:val="none"/>
        </w:rPr>
        <w:t>申报基本条件和不予支持情形</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hint="eastAsia" w:ascii="仿宋_GB2312" w:hAnsi="仿宋_GB2312" w:cs="仿宋_GB2312"/>
          <w:szCs w:val="32"/>
          <w14:ligatures w14:val="none"/>
        </w:rPr>
      </w:pPr>
      <w:r>
        <w:rPr>
          <w:rFonts w:hint="eastAsia" w:eastAsia="楷体_GB2312" w:cs="楷体_GB2312"/>
          <w:szCs w:val="32"/>
          <w14:ligatures w14:val="none"/>
        </w:rPr>
        <w:t>第三条</w:t>
      </w:r>
      <w:r>
        <w:rPr>
          <w:rFonts w:cs="仿宋_GB2312"/>
          <w:szCs w:val="32"/>
          <w14:ligatures w14:val="none"/>
        </w:rPr>
        <w:t xml:space="preserve"> </w:t>
      </w:r>
      <w:r>
        <w:rPr>
          <w:rFonts w:hint="eastAsia" w:ascii="仿宋_GB2312" w:hAnsi="仿宋_GB2312" w:cs="仿宋_GB2312"/>
          <w:szCs w:val="32"/>
          <w14:ligatures w14:val="none"/>
        </w:rPr>
        <w:t>申报主体申报《若干措施》规定的奖励或补贴，应当符合相应条款的申报要求，同时满足下列申报基本条件：</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firstLineChars="0"/>
        <w:jc w:val="both"/>
        <w:textAlignment w:val="auto"/>
        <w:rPr>
          <w:rFonts w:hint="eastAsia" w:ascii="仿宋_GB2312" w:hAnsi="仿宋_GB2312" w:cs="仿宋_GB2312"/>
          <w:szCs w:val="32"/>
          <w14:ligatures w14:val="none"/>
        </w:rPr>
      </w:pPr>
      <w:r>
        <w:rPr>
          <w:rFonts w:hint="eastAsia" w:ascii="仿宋_GB2312" w:hAnsi="仿宋_GB2312" w:cs="仿宋_GB2312"/>
          <w:szCs w:val="32"/>
          <w14:ligatures w14:val="none"/>
        </w:rPr>
        <w:t>（一）依法注册并实质性运营的企业；</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firstLineChars="0"/>
        <w:jc w:val="both"/>
        <w:textAlignment w:val="auto"/>
        <w:rPr>
          <w:rFonts w:ascii="Calibri" w:hAnsi="Calibri" w:eastAsia="宋体" w:cs="Times New Roman"/>
          <w:szCs w:val="32"/>
          <w14:ligatures w14:val="none"/>
        </w:rPr>
      </w:pPr>
      <w:r>
        <w:rPr>
          <w:rFonts w:hint="eastAsia" w:cs="Times New Roman"/>
          <w:szCs w:val="32"/>
          <w14:ligatures w14:val="none"/>
        </w:rPr>
        <w:t>（二）诚信经营，未被列入</w:t>
      </w:r>
      <w:r>
        <w:rPr>
          <w:rFonts w:hint="eastAsia" w:ascii="仿宋_GB2312" w:hAnsi="仿宋_GB2312" w:cs="仿宋_GB2312"/>
          <w:szCs w:val="32"/>
          <w14:ligatures w14:val="none"/>
        </w:rPr>
        <w:t>“信用中国”</w:t>
      </w:r>
      <w:r>
        <w:rPr>
          <w:rFonts w:hint="eastAsia" w:cs="Times New Roman"/>
          <w:szCs w:val="32"/>
          <w14:ligatures w14:val="none"/>
        </w:rPr>
        <w:t>网站严重失信主体名单。</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仿宋_GB2312"/>
          <w:szCs w:val="32"/>
          <w14:ligatures w14:val="none"/>
        </w:rPr>
      </w:pPr>
      <w:r>
        <w:rPr>
          <w:rFonts w:hint="eastAsia" w:eastAsia="楷体_GB2312" w:cs="楷体_GB2312"/>
          <w:szCs w:val="32"/>
          <w14:ligatures w14:val="none"/>
        </w:rPr>
        <w:t>第四条</w:t>
      </w:r>
      <w:r>
        <w:rPr>
          <w:rFonts w:eastAsia="楷体_GB2312" w:cs="楷体_GB2312"/>
          <w:szCs w:val="32"/>
          <w14:ligatures w14:val="none"/>
        </w:rPr>
        <w:t xml:space="preserve"> </w:t>
      </w:r>
      <w:r>
        <w:rPr>
          <w:rFonts w:hint="eastAsia" w:cs="仿宋_GB2312"/>
          <w:szCs w:val="32"/>
          <w14:ligatures w14:val="none"/>
        </w:rPr>
        <w:t>《若干措施》不予支持情形：</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firstLineChars="0"/>
        <w:jc w:val="both"/>
        <w:textAlignment w:val="auto"/>
        <w:rPr>
          <w:rFonts w:cs="仿宋_GB2312"/>
          <w:szCs w:val="32"/>
          <w14:ligatures w14:val="none"/>
        </w:rPr>
      </w:pPr>
      <w:r>
        <w:rPr>
          <w:rFonts w:hint="eastAsia" w:cs="仿宋_GB2312"/>
          <w:szCs w:val="32"/>
          <w14:ligatures w14:val="none"/>
        </w:rPr>
        <w:t>（一）申报主体不符合《若干措施》有关规定的；</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firstLineChars="0"/>
        <w:jc w:val="both"/>
        <w:textAlignment w:val="auto"/>
        <w:rPr>
          <w:rFonts w:cs="仿宋_GB2312"/>
          <w:szCs w:val="32"/>
          <w14:ligatures w14:val="none"/>
        </w:rPr>
      </w:pPr>
      <w:r>
        <w:rPr>
          <w:rFonts w:hint="eastAsia" w:cs="仿宋_GB2312"/>
          <w:szCs w:val="32"/>
          <w14:ligatures w14:val="none"/>
        </w:rPr>
        <w:t>（二）申报主体利用虚假材料申报骗取《若干措施》项下奖补资金的；</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firstLineChars="0"/>
        <w:jc w:val="both"/>
        <w:textAlignment w:val="auto"/>
        <w:rPr>
          <w:rFonts w:cs="仿宋_GB2312"/>
          <w:szCs w:val="32"/>
          <w14:ligatures w14:val="none"/>
        </w:rPr>
      </w:pPr>
      <w:r>
        <w:rPr>
          <w:rFonts w:hint="eastAsia" w:cs="仿宋_GB2312"/>
          <w:szCs w:val="32"/>
          <w14:ligatures w14:val="none"/>
        </w:rPr>
        <w:t>（三）奖补资金拨付之前，申报主体被列入“信用中国”网站严重失信主体名单的；</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firstLineChars="0"/>
        <w:jc w:val="both"/>
        <w:textAlignment w:val="auto"/>
        <w:rPr>
          <w:rFonts w:cs="仿宋_GB2312"/>
          <w:szCs w:val="32"/>
          <w14:ligatures w14:val="none"/>
        </w:rPr>
      </w:pPr>
      <w:r>
        <w:rPr>
          <w:rFonts w:hint="eastAsia" w:cs="仿宋_GB2312"/>
          <w:szCs w:val="32"/>
          <w14:ligatures w14:val="none"/>
        </w:rPr>
        <w:t>（四）申报主体存在法律、法规规定不得给予资金奖补的其他情形的。</w:t>
      </w:r>
    </w:p>
    <w:p>
      <w:pPr>
        <w:keepNext w:val="0"/>
        <w:keepLines w:val="0"/>
        <w:pageBreakBefore w:val="0"/>
        <w:widowControl w:val="0"/>
        <w:kinsoku/>
        <w:wordWrap/>
        <w:overflowPunct w:val="0"/>
        <w:topLinePunct w:val="0"/>
        <w:autoSpaceDE/>
        <w:autoSpaceDN/>
        <w:bidi w:val="0"/>
        <w:adjustRightInd/>
        <w:snapToGrid/>
        <w:spacing w:after="0" w:line="578" w:lineRule="exact"/>
        <w:ind w:firstLine="0" w:firstLineChars="0"/>
        <w:jc w:val="center"/>
        <w:textAlignment w:val="auto"/>
        <w:rPr>
          <w:rFonts w:eastAsia="黑体" w:cs="黑体"/>
          <w:szCs w:val="32"/>
          <w14:ligatures w14:val="none"/>
        </w:rPr>
      </w:pPr>
      <w:r>
        <w:rPr>
          <w:rFonts w:hint="eastAsia" w:eastAsia="黑体" w:cs="黑体"/>
          <w:szCs w:val="32"/>
          <w14:ligatures w14:val="none"/>
        </w:rPr>
        <w:t>第三章</w:t>
      </w:r>
      <w:r>
        <w:rPr>
          <w:rFonts w:eastAsia="黑体" w:cs="黑体"/>
          <w:szCs w:val="32"/>
          <w14:ligatures w14:val="none"/>
        </w:rPr>
        <w:t xml:space="preserve"> </w:t>
      </w:r>
      <w:r>
        <w:rPr>
          <w:rFonts w:hint="eastAsia" w:eastAsia="黑体" w:cs="黑体"/>
          <w:szCs w:val="32"/>
          <w14:ligatures w14:val="none"/>
        </w:rPr>
        <w:t>申报基本材料</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eastAsia="楷体_GB2312" w:cs="Times New Roman"/>
          <w:kern w:val="0"/>
          <w:szCs w:val="32"/>
          <w14:ligatures w14:val="none"/>
        </w:rPr>
        <w:t>第五条</w:t>
      </w:r>
      <w:r>
        <w:rPr>
          <w:rFonts w:cs="Times New Roman"/>
          <w:kern w:val="0"/>
          <w:szCs w:val="32"/>
          <w14:ligatures w14:val="none"/>
        </w:rPr>
        <w:t xml:space="preserve"> </w:t>
      </w:r>
      <w:r>
        <w:rPr>
          <w:rFonts w:hint="eastAsia" w:cs="Times New Roman"/>
          <w:kern w:val="0"/>
          <w:szCs w:val="32"/>
          <w14:ligatures w14:val="none"/>
        </w:rPr>
        <w:t>申报主体申报《若干措施》项下的奖补，需提供以下申报基本材料（加盖公章）：</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（一）专项资金申请表（见附件</w:t>
      </w:r>
      <w:r>
        <w:rPr>
          <w:rFonts w:cs="Times New Roman"/>
          <w:szCs w:val="32"/>
          <w14:ligatures w14:val="none"/>
        </w:rPr>
        <w:t>1</w:t>
      </w:r>
      <w:r>
        <w:rPr>
          <w:rFonts w:hint="eastAsia" w:cs="Times New Roman"/>
          <w:szCs w:val="32"/>
          <w14:ligatures w14:val="none"/>
        </w:rPr>
        <w:t>）、专项资金申报承诺书（见附件</w:t>
      </w:r>
      <w:r>
        <w:rPr>
          <w:rFonts w:cs="Times New Roman"/>
          <w:szCs w:val="32"/>
          <w14:ligatures w14:val="none"/>
        </w:rPr>
        <w:t>2</w:t>
      </w:r>
      <w:r>
        <w:rPr>
          <w:rFonts w:hint="eastAsia" w:cs="Times New Roman"/>
          <w:szCs w:val="32"/>
          <w14:ligatures w14:val="none"/>
        </w:rPr>
        <w:t>）；</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（二）企业在“信用中国”网站下载的信用信息报告（报告生成日期为提交申报材料前一个月内）；</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（三）企业在科技城内实质性运营的证明材料（见附件</w:t>
      </w:r>
      <w:r>
        <w:rPr>
          <w:rFonts w:cs="Times New Roman"/>
          <w:szCs w:val="32"/>
          <w14:ligatures w14:val="none"/>
        </w:rPr>
        <w:t>3</w:t>
      </w:r>
      <w:r>
        <w:rPr>
          <w:rFonts w:hint="eastAsia" w:cs="Times New Roman"/>
          <w:szCs w:val="32"/>
          <w14:ligatures w14:val="none"/>
        </w:rPr>
        <w:t>）。</w:t>
      </w:r>
    </w:p>
    <w:p>
      <w:pPr>
        <w:keepNext w:val="0"/>
        <w:keepLines w:val="0"/>
        <w:pageBreakBefore w:val="0"/>
        <w:widowControl w:val="0"/>
        <w:kinsoku/>
        <w:wordWrap/>
        <w:overflowPunct w:val="0"/>
        <w:topLinePunct w:val="0"/>
        <w:autoSpaceDE/>
        <w:autoSpaceDN/>
        <w:bidi w:val="0"/>
        <w:adjustRightInd/>
        <w:snapToGrid/>
        <w:spacing w:after="0" w:line="578" w:lineRule="exact"/>
        <w:ind w:firstLine="0" w:firstLineChars="0"/>
        <w:jc w:val="center"/>
        <w:textAlignment w:val="auto"/>
        <w:rPr>
          <w:rFonts w:eastAsia="黑体" w:cs="Times New Roman"/>
          <w:kern w:val="44"/>
          <w:szCs w:val="32"/>
          <w14:ligatures w14:val="none"/>
        </w:rPr>
      </w:pPr>
      <w:r>
        <w:rPr>
          <w:rFonts w:hint="eastAsia" w:eastAsia="黑体" w:cs="Times New Roman"/>
          <w:kern w:val="44"/>
          <w:szCs w:val="32"/>
          <w14:ligatures w14:val="none"/>
        </w:rPr>
        <w:t>第四章</w:t>
      </w:r>
      <w:r>
        <w:rPr>
          <w:rFonts w:eastAsia="黑体" w:cs="Times New Roman"/>
          <w:kern w:val="44"/>
          <w:szCs w:val="32"/>
          <w14:ligatures w14:val="none"/>
        </w:rPr>
        <w:t xml:space="preserve"> </w:t>
      </w:r>
      <w:r>
        <w:rPr>
          <w:rFonts w:hint="eastAsia" w:eastAsia="黑体" w:cs="Times New Roman"/>
          <w:kern w:val="44"/>
          <w:szCs w:val="32"/>
          <w14:ligatures w14:val="none"/>
        </w:rPr>
        <w:t>申报流程</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textAlignment w:val="auto"/>
        <w:rPr>
          <w:rFonts w:cs="Times New Roman"/>
          <w:szCs w:val="32"/>
          <w14:ligatures w14:val="none"/>
        </w:rPr>
      </w:pPr>
      <w:r>
        <w:rPr>
          <w:rFonts w:hint="eastAsia" w:eastAsia="楷体_GB2312" w:cs="Times New Roman"/>
          <w:szCs w:val="32"/>
          <w14:ligatures w14:val="none"/>
        </w:rPr>
        <w:t>第六条</w:t>
      </w:r>
      <w:r>
        <w:rPr>
          <w:rFonts w:cs="Times New Roman"/>
          <w:szCs w:val="32"/>
          <w14:ligatures w14:val="none"/>
        </w:rPr>
        <w:t xml:space="preserve"> </w:t>
      </w:r>
      <w:r>
        <w:rPr>
          <w:rFonts w:hint="eastAsia" w:cs="Times New Roman"/>
          <w:szCs w:val="32"/>
          <w14:ligatures w14:val="none"/>
        </w:rPr>
        <w:t>《若干措施》申报流程如下：</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textAlignment w:val="auto"/>
        <w:rPr>
          <w:rFonts w:cs="Times New Roman"/>
          <w:szCs w:val="32"/>
          <w14:ligatures w14:val="none"/>
        </w:rPr>
      </w:pPr>
      <w:r>
        <w:rPr>
          <w:rFonts w:hint="eastAsia" w:cs="Times New Roman"/>
          <w:szCs w:val="32"/>
          <w14:ligatures w14:val="none"/>
        </w:rPr>
        <w:t>（一）申报</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管理局发布申报通知，企业符合申报条件的，可按照申报通知要求，在申报受理时限内通过海南省惠企政策兑现服务平台（以下简称“海易兑”）或管理局书面认定的兑现平台（以管理局公告要求为准），注册登录后提交加盖公章的申报材料。</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textAlignment w:val="auto"/>
        <w:rPr>
          <w:rFonts w:cs="Times New Roman"/>
          <w:szCs w:val="32"/>
          <w14:ligatures w14:val="none"/>
        </w:rPr>
      </w:pPr>
      <w:r>
        <w:rPr>
          <w:rFonts w:hint="eastAsia" w:cs="Times New Roman"/>
          <w:szCs w:val="32"/>
          <w14:ligatures w14:val="none"/>
        </w:rPr>
        <w:t>（二）审核</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管理局收到申报材料后，及时自行或委托第三方机构开展审核工作。若申报材料涉及审计报告，申报主体可自行提供审计报告或委托与管理局合作的第三方机构进行审计并出具审计报告。如申报材料不齐全，申报主体应当在收到管理局补充材料通知后予以补齐。未按照申报受理时限完成申报材料提交的，管理局不予政策支持。</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textAlignment w:val="auto"/>
        <w:rPr>
          <w:rFonts w:cs="Times New Roman"/>
          <w:szCs w:val="32"/>
          <w14:ligatures w14:val="none"/>
        </w:rPr>
      </w:pPr>
      <w:r>
        <w:rPr>
          <w:rFonts w:hint="eastAsia" w:cs="Times New Roman"/>
          <w:szCs w:val="32"/>
          <w14:ligatures w14:val="none"/>
        </w:rPr>
        <w:t>（三）公示</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经审核拟奖补的企业、项目及金额，将在“海易兑”进行公示，公示期为</w:t>
      </w:r>
      <w:r>
        <w:rPr>
          <w:rFonts w:cs="Times New Roman"/>
          <w:szCs w:val="32"/>
          <w14:ligatures w14:val="none"/>
        </w:rPr>
        <w:t>5</w:t>
      </w:r>
      <w:r>
        <w:rPr>
          <w:rFonts w:hint="eastAsia" w:cs="Times New Roman"/>
          <w:szCs w:val="32"/>
          <w14:ligatures w14:val="none"/>
        </w:rPr>
        <w:t>个工作日。</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textAlignment w:val="auto"/>
        <w:rPr>
          <w:rFonts w:cs="Times New Roman"/>
          <w:szCs w:val="32"/>
          <w14:ligatures w14:val="none"/>
        </w:rPr>
      </w:pPr>
      <w:r>
        <w:rPr>
          <w:rFonts w:hint="eastAsia" w:cs="Times New Roman"/>
          <w:szCs w:val="32"/>
          <w14:ligatures w14:val="none"/>
        </w:rPr>
        <w:t>（四）资金拨付</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公示期内无异议或经管理局审查异议不成立的，管理局进行资金拨付工作。</w:t>
      </w:r>
    </w:p>
    <w:p>
      <w:pPr>
        <w:keepNext w:val="0"/>
        <w:keepLines w:val="0"/>
        <w:pageBreakBefore w:val="0"/>
        <w:widowControl w:val="0"/>
        <w:kinsoku/>
        <w:wordWrap/>
        <w:overflowPunct w:val="0"/>
        <w:topLinePunct w:val="0"/>
        <w:autoSpaceDE/>
        <w:autoSpaceDN/>
        <w:bidi w:val="0"/>
        <w:adjustRightInd/>
        <w:snapToGrid/>
        <w:spacing w:after="0" w:line="578" w:lineRule="exact"/>
        <w:ind w:firstLine="0" w:firstLineChars="0"/>
        <w:jc w:val="center"/>
        <w:textAlignment w:val="auto"/>
        <w:rPr>
          <w:rFonts w:eastAsia="黑体" w:cs="黑体"/>
          <w:szCs w:val="32"/>
          <w14:ligatures w14:val="none"/>
        </w:rPr>
      </w:pPr>
      <w:r>
        <w:rPr>
          <w:rFonts w:hint="eastAsia" w:eastAsia="黑体" w:cs="黑体"/>
          <w:szCs w:val="32"/>
          <w14:ligatures w14:val="none"/>
        </w:rPr>
        <w:t>第五章</w:t>
      </w:r>
      <w:r>
        <w:rPr>
          <w:rFonts w:eastAsia="黑体" w:cs="黑体"/>
          <w:szCs w:val="32"/>
          <w14:ligatures w14:val="none"/>
        </w:rPr>
        <w:t xml:space="preserve"> </w:t>
      </w:r>
      <w:r>
        <w:rPr>
          <w:rFonts w:hint="eastAsia" w:eastAsia="黑体" w:cs="黑体"/>
          <w:szCs w:val="32"/>
          <w14:ligatures w14:val="none"/>
        </w:rPr>
        <w:t>政策支持标准、申报要求及申报材料</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ascii="楷体_GB2312" w:eastAsia="楷体_GB2312" w:cs="Times New Roman"/>
          <w:szCs w:val="32"/>
          <w14:ligatures w14:val="none"/>
        </w:rPr>
      </w:pPr>
      <w:r>
        <w:rPr>
          <w:rFonts w:hint="eastAsia" w:eastAsia="楷体_GB2312" w:cs="Times New Roman"/>
          <w:szCs w:val="32"/>
          <w14:ligatures w14:val="none"/>
        </w:rPr>
        <w:t>第七条</w:t>
      </w:r>
      <w:r>
        <w:rPr>
          <w:rFonts w:eastAsia="楷体_GB2312" w:cs="Times New Roman"/>
          <w:szCs w:val="32"/>
          <w14:ligatures w14:val="none"/>
        </w:rPr>
        <w:t xml:space="preserve"> </w:t>
      </w:r>
      <w:r>
        <w:rPr>
          <w:rFonts w:hint="eastAsia" w:eastAsia="楷体_GB2312" w:cs="Times New Roman"/>
          <w:szCs w:val="32"/>
          <w14:ligatures w14:val="none"/>
        </w:rPr>
        <w:t>国家级</w:t>
      </w:r>
      <w:r>
        <w:rPr>
          <w:rFonts w:hint="eastAsia" w:ascii="楷体_GB2312" w:eastAsia="楷体_GB2312" w:cs="Times New Roman"/>
          <w:szCs w:val="32"/>
          <w14:ligatures w14:val="none"/>
        </w:rPr>
        <w:t>专精特新“小巨人”企业认定奖励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（一）支持标准</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szCs w:val="32"/>
          <w14:ligatures w14:val="none"/>
        </w:rPr>
        <w:t>对获得认定的国家级专精特新“小巨人”企业，给予</w:t>
      </w:r>
      <w:r>
        <w:rPr>
          <w:rFonts w:cs="Times New Roman"/>
          <w:szCs w:val="32"/>
          <w14:ligatures w14:val="none"/>
        </w:rPr>
        <w:t>80</w:t>
      </w:r>
      <w:r>
        <w:rPr>
          <w:rFonts w:hint="eastAsia" w:cs="Times New Roman"/>
          <w:szCs w:val="32"/>
          <w14:ligatures w14:val="none"/>
        </w:rPr>
        <w:t>万元奖励；奖励分两年申请，第一年申请奖励金额的</w:t>
      </w:r>
      <w:r>
        <w:rPr>
          <w:rFonts w:cs="Times New Roman"/>
          <w:szCs w:val="32"/>
          <w14:ligatures w14:val="none"/>
        </w:rPr>
        <w:t>50%</w:t>
      </w:r>
      <w:r>
        <w:rPr>
          <w:rFonts w:hint="eastAsia" w:cs="Times New Roman"/>
          <w:szCs w:val="32"/>
          <w14:ligatures w14:val="none"/>
        </w:rPr>
        <w:t>，第二年申请剩余50%。</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（二）申报要求及说明</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kern w:val="0"/>
          <w:szCs w:val="32"/>
          <w14:ligatures w14:val="none"/>
        </w:rPr>
        <w:t>1.申报主体提交申请材料（不含补正申请材料）时，申报主体的国家级专精特新“小巨人”企业资质在有效期内；</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szCs w:val="32"/>
          <w14:ligatures w14:val="none"/>
        </w:rPr>
        <w:t>2.同一家企业仅可享受一次管理局支持的国家级专精特新“小巨人”企业认定奖励</w:t>
      </w:r>
      <w:r>
        <w:rPr>
          <w:rFonts w:hint="eastAsia" w:cs="Times New Roman"/>
          <w:kern w:val="0"/>
          <w:szCs w:val="32"/>
          <w14:ligatures w14:val="none"/>
        </w:rPr>
        <w:t>。</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kern w:val="0"/>
          <w:szCs w:val="32"/>
          <w14:ligatures w14:val="none"/>
        </w:rPr>
        <w:t>（三）申报材料</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kern w:val="0"/>
          <w:szCs w:val="32"/>
          <w14:ligatures w14:val="none"/>
        </w:rPr>
        <w:t>国家级专精特新“小巨人”企业认定证明材料（提供资质证书复印件，无文件证书的，则提供主管认定部门通过官方网站等途径最终公告的名单）。</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ascii="楷体_GB2312" w:eastAsia="楷体_GB2312" w:cs="Times New Roman"/>
          <w:szCs w:val="32"/>
          <w14:ligatures w14:val="none"/>
        </w:rPr>
      </w:pPr>
      <w:r>
        <w:rPr>
          <w:rFonts w:hint="eastAsia" w:eastAsia="楷体_GB2312" w:cs="Times New Roman"/>
          <w:szCs w:val="32"/>
          <w14:ligatures w14:val="none"/>
        </w:rPr>
        <w:t>第八条</w:t>
      </w:r>
      <w:r>
        <w:rPr>
          <w:rFonts w:eastAsia="楷体_GB2312" w:cs="Times New Roman"/>
          <w:szCs w:val="32"/>
          <w14:ligatures w14:val="none"/>
        </w:rPr>
        <w:t xml:space="preserve"> </w:t>
      </w:r>
      <w:r>
        <w:rPr>
          <w:rFonts w:hint="eastAsia" w:eastAsia="楷体_GB2312" w:cs="Times New Roman"/>
          <w:szCs w:val="32"/>
          <w14:ligatures w14:val="none"/>
        </w:rPr>
        <w:t>海南省</w:t>
      </w:r>
      <w:r>
        <w:rPr>
          <w:rFonts w:hint="eastAsia" w:ascii="楷体_GB2312" w:eastAsia="楷体_GB2312" w:cs="Times New Roman"/>
          <w:szCs w:val="32"/>
          <w14:ligatures w14:val="none"/>
        </w:rPr>
        <w:t>专精特新中小企业认定奖励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（一）支持标准</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对获得认定的海南省专精特新中小企业，一次性给予</w:t>
      </w:r>
      <w:r>
        <w:rPr>
          <w:rFonts w:cs="Times New Roman"/>
          <w:szCs w:val="32"/>
          <w14:ligatures w14:val="none"/>
        </w:rPr>
        <w:t>20</w:t>
      </w:r>
      <w:r>
        <w:rPr>
          <w:rFonts w:hint="eastAsia" w:cs="Times New Roman"/>
          <w:szCs w:val="32"/>
          <w14:ligatures w14:val="none"/>
        </w:rPr>
        <w:t>万元奖励。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（二）申报要求及说明</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kern w:val="0"/>
          <w:szCs w:val="32"/>
          <w14:ligatures w14:val="none"/>
        </w:rPr>
        <w:t>1.申报主体提交申请材料（不含补正申请材料）时，申报主体的海南省专精特新中小企业资质在有效期内；</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szCs w:val="32"/>
          <w14:ligatures w14:val="none"/>
        </w:rPr>
        <w:t>2.同一家企业仅可享受一次管理局支持的海南省专精特新中小企业认定奖励。</w:t>
      </w:r>
    </w:p>
    <w:p>
      <w:pPr>
        <w:keepNext w:val="0"/>
        <w:keepLines w:val="0"/>
        <w:pageBreakBefore w:val="0"/>
        <w:widowControl w:val="0"/>
        <w:kinsoku/>
        <w:wordWrap/>
        <w:overflowPunct w:val="0"/>
        <w:topLinePunct w:val="0"/>
        <w:autoSpaceDE/>
        <w:autoSpaceDN/>
        <w:bidi w:val="0"/>
        <w:adjustRightInd/>
        <w:snapToGrid/>
        <w:spacing w:after="0" w:line="578" w:lineRule="exact"/>
        <w:ind w:left="640" w:firstLine="0" w:firstLineChars="0"/>
        <w:jc w:val="both"/>
        <w:textAlignment w:val="auto"/>
        <w:rPr>
          <w:rFonts w:cs="Times New Roman"/>
          <w:kern w:val="0"/>
          <w:szCs w:val="32"/>
          <w14:ligatures w14:val="none"/>
        </w:rPr>
      </w:pPr>
      <w:r>
        <w:rPr>
          <w:rFonts w:hint="eastAsia" w:cs="Times New Roman"/>
          <w:kern w:val="0"/>
          <w:szCs w:val="32"/>
          <w14:ligatures w14:val="none"/>
        </w:rPr>
        <w:t>（三）申报材料</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kern w:val="0"/>
          <w:szCs w:val="32"/>
          <w14:ligatures w14:val="none"/>
        </w:rPr>
        <w:t>海南省专精特新中小企业认定证明材料（提供资质证书复印件，无文件证书的，则提供主管认定部门通过官方网站等途径最终公告的名单）。</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ascii="楷体_GB2312" w:eastAsia="楷体_GB2312" w:cs="Times New Roman"/>
          <w:szCs w:val="32"/>
          <w14:ligatures w14:val="none"/>
        </w:rPr>
      </w:pPr>
      <w:r>
        <w:rPr>
          <w:rFonts w:hint="eastAsia" w:eastAsia="楷体_GB2312" w:cs="Times New Roman"/>
          <w:szCs w:val="32"/>
          <w14:ligatures w14:val="none"/>
        </w:rPr>
        <w:t xml:space="preserve">第九条 </w:t>
      </w:r>
      <w:r>
        <w:rPr>
          <w:rFonts w:hint="eastAsia" w:ascii="楷体_GB2312" w:eastAsia="楷体_GB2312" w:cs="Times New Roman"/>
          <w:szCs w:val="32"/>
          <w14:ligatures w14:val="none"/>
        </w:rPr>
        <w:t>海南省创新型中小企业认定奖励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（一）支持标准</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kern w:val="0"/>
          <w:szCs w:val="32"/>
          <w14:ligatures w14:val="none"/>
        </w:rPr>
        <w:t>对</w:t>
      </w:r>
      <w:bookmarkStart w:id="5" w:name="_Hlk203578593"/>
      <w:r>
        <w:rPr>
          <w:rFonts w:hint="eastAsia" w:cs="Times New Roman"/>
          <w:szCs w:val="32"/>
          <w14:ligatures w14:val="none"/>
        </w:rPr>
        <w:t>新</w:t>
      </w:r>
      <w:r>
        <w:rPr>
          <w:rFonts w:hint="eastAsia" w:cs="Times New Roman"/>
          <w:kern w:val="0"/>
          <w:szCs w:val="32"/>
          <w14:ligatures w14:val="none"/>
        </w:rPr>
        <w:t>公告或者复核通过的</w:t>
      </w:r>
      <w:bookmarkEnd w:id="5"/>
      <w:r>
        <w:rPr>
          <w:rFonts w:hint="eastAsia" w:cs="Times New Roman"/>
          <w:kern w:val="0"/>
          <w:szCs w:val="32"/>
          <w14:ligatures w14:val="none"/>
        </w:rPr>
        <w:t>海南省创新型中小企业，一次性给予</w:t>
      </w:r>
      <w:r>
        <w:rPr>
          <w:rFonts w:cs="Times New Roman"/>
          <w:kern w:val="0"/>
          <w:szCs w:val="32"/>
          <w14:ligatures w14:val="none"/>
        </w:rPr>
        <w:t>3</w:t>
      </w:r>
      <w:r>
        <w:rPr>
          <w:rFonts w:hint="eastAsia" w:cs="Times New Roman"/>
          <w:kern w:val="0"/>
          <w:szCs w:val="32"/>
          <w14:ligatures w14:val="none"/>
        </w:rPr>
        <w:t>万元奖励。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（二）申报要求及说明</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kern w:val="0"/>
          <w:szCs w:val="32"/>
          <w14:ligatures w14:val="none"/>
        </w:rPr>
        <w:t>1</w:t>
      </w:r>
      <w:r>
        <w:rPr>
          <w:rFonts w:cs="Times New Roman"/>
          <w:kern w:val="0"/>
          <w:szCs w:val="32"/>
          <w14:ligatures w14:val="none"/>
        </w:rPr>
        <w:t>.</w:t>
      </w:r>
      <w:r>
        <w:rPr>
          <w:rFonts w:hint="eastAsia" w:cs="Times New Roman"/>
          <w:kern w:val="0"/>
          <w:szCs w:val="32"/>
          <w14:ligatures w14:val="none"/>
        </w:rPr>
        <w:t>申报主体提交申请材料（不含补正申请材料）时，申报主体的海南省创新型中小企业资质在有效期内；</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kern w:val="0"/>
          <w:szCs w:val="32"/>
          <w14:ligatures w14:val="none"/>
        </w:rPr>
        <w:t>2</w:t>
      </w:r>
      <w:r>
        <w:rPr>
          <w:rFonts w:cs="Times New Roman"/>
          <w:kern w:val="0"/>
          <w:szCs w:val="32"/>
          <w14:ligatures w14:val="none"/>
        </w:rPr>
        <w:t>.</w:t>
      </w:r>
      <w:r>
        <w:rPr>
          <w:rFonts w:hint="eastAsia" w:cs="Times New Roman"/>
          <w:kern w:val="0"/>
          <w:szCs w:val="32"/>
          <w14:ligatures w14:val="none"/>
        </w:rPr>
        <w:t>同一家企业仅可享受一次管理局支持的海南省创新型中小企业认定奖励；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kern w:val="0"/>
          <w:szCs w:val="32"/>
          <w14:ligatures w14:val="none"/>
        </w:rPr>
        <w:t>3.公告时间或者复核通过时间应当在《若干措施》印发所在年度及之后。</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kern w:val="0"/>
          <w:szCs w:val="32"/>
          <w14:ligatures w14:val="none"/>
        </w:rPr>
        <w:t>（三）申报材料</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kern w:val="0"/>
          <w:szCs w:val="32"/>
          <w14:ligatures w14:val="none"/>
        </w:rPr>
        <w:t>海南省创新型中小企业认定证明材料（提供资质证书复印件，无文件证书的，则提供主管认定部门通过官方网站等途径最终公告的名单）。</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ascii="楷体_GB2312" w:eastAsia="楷体_GB2312" w:cs="Times New Roman"/>
          <w:szCs w:val="32"/>
          <w14:ligatures w14:val="none"/>
        </w:rPr>
      </w:pPr>
      <w:r>
        <w:rPr>
          <w:rFonts w:hint="eastAsia" w:eastAsia="楷体_GB2312" w:cs="Times New Roman"/>
          <w:szCs w:val="32"/>
          <w14:ligatures w14:val="none"/>
        </w:rPr>
        <w:t>第十条</w:t>
      </w:r>
      <w:r>
        <w:rPr>
          <w:rFonts w:eastAsia="楷体_GB2312" w:cs="Times New Roman"/>
          <w:szCs w:val="32"/>
          <w14:ligatures w14:val="none"/>
        </w:rPr>
        <w:t xml:space="preserve"> </w:t>
      </w:r>
      <w:r>
        <w:rPr>
          <w:rFonts w:hint="eastAsia" w:ascii="楷体_GB2312" w:eastAsia="楷体_GB2312" w:cs="Times New Roman"/>
          <w:szCs w:val="32"/>
          <w14:ligatures w14:val="none"/>
        </w:rPr>
        <w:t>海南省高新技术企业培育库入库奖励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（一）支持标准</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对纳入海南省高新技术企业培育库的企业，一次性给予</w:t>
      </w:r>
      <w:r>
        <w:rPr>
          <w:rFonts w:cs="Times New Roman"/>
          <w:szCs w:val="32"/>
          <w14:ligatures w14:val="none"/>
        </w:rPr>
        <w:t>10</w:t>
      </w:r>
      <w:r>
        <w:rPr>
          <w:rFonts w:hint="eastAsia" w:cs="Times New Roman"/>
          <w:szCs w:val="32"/>
          <w14:ligatures w14:val="none"/>
        </w:rPr>
        <w:t>万元的入库奖励。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（二）申报要求</w:t>
      </w:r>
      <w:r>
        <w:rPr>
          <w:rFonts w:hint="eastAsia" w:cs="Times New Roman"/>
          <w:kern w:val="0"/>
          <w:szCs w:val="32"/>
          <w14:ligatures w14:val="none"/>
        </w:rPr>
        <w:t>及说明</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1.申报主体提交申请材料（不含补正申请材料）时，申报主体在海南省高新技术企业培育库中；</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2</w:t>
      </w:r>
      <w:r>
        <w:rPr>
          <w:rFonts w:cs="Times New Roman"/>
          <w:szCs w:val="32"/>
          <w14:ligatures w14:val="none"/>
        </w:rPr>
        <w:t>.</w:t>
      </w:r>
      <w:bookmarkStart w:id="6" w:name="_Hlk203578692"/>
      <w:r>
        <w:rPr>
          <w:rFonts w:hint="eastAsia" w:cs="Times New Roman"/>
          <w:szCs w:val="32"/>
          <w14:ligatures w14:val="none"/>
        </w:rPr>
        <w:t>已享受《三亚崖州湾科技城关于促进高新技术企业发展措施》（三科技城规〔</w:t>
      </w:r>
      <w:r>
        <w:rPr>
          <w:rFonts w:cs="Times New Roman"/>
          <w:szCs w:val="32"/>
          <w14:ligatures w14:val="none"/>
        </w:rPr>
        <w:t>2023</w:t>
      </w:r>
      <w:r>
        <w:rPr>
          <w:rFonts w:hint="eastAsia" w:cs="Times New Roman"/>
          <w:szCs w:val="32"/>
          <w14:ligatures w14:val="none"/>
        </w:rPr>
        <w:t>〕</w:t>
      </w:r>
      <w:r>
        <w:rPr>
          <w:rFonts w:cs="Times New Roman"/>
          <w:szCs w:val="32"/>
          <w14:ligatures w14:val="none"/>
        </w:rPr>
        <w:t>5</w:t>
      </w:r>
      <w:r>
        <w:rPr>
          <w:rFonts w:hint="eastAsia" w:cs="Times New Roman"/>
          <w:szCs w:val="32"/>
          <w14:ligatures w14:val="none"/>
        </w:rPr>
        <w:t>号）入库培育奖励的企业，不重复享受本条奖励</w:t>
      </w:r>
      <w:bookmarkEnd w:id="6"/>
      <w:r>
        <w:rPr>
          <w:rFonts w:hint="eastAsia" w:cs="Times New Roman"/>
          <w:szCs w:val="32"/>
          <w14:ligatures w14:val="none"/>
        </w:rPr>
        <w:t>。</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（三）申报材料</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纳入海南省高新技术企业培育库的证明材料。</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ascii="楷体_GB2312" w:eastAsia="楷体_GB2312" w:cs="Times New Roman"/>
          <w:szCs w:val="32"/>
          <w14:ligatures w14:val="none"/>
        </w:rPr>
      </w:pPr>
      <w:r>
        <w:rPr>
          <w:rFonts w:hint="eastAsia" w:eastAsia="楷体_GB2312" w:cs="Times New Roman"/>
          <w:szCs w:val="32"/>
          <w14:ligatures w14:val="none"/>
        </w:rPr>
        <w:t>第十一条</w:t>
      </w:r>
      <w:r>
        <w:rPr>
          <w:rFonts w:eastAsia="楷体_GB2312" w:cs="Times New Roman"/>
          <w:szCs w:val="32"/>
          <w14:ligatures w14:val="none"/>
        </w:rPr>
        <w:t xml:space="preserve"> </w:t>
      </w:r>
      <w:r>
        <w:rPr>
          <w:rFonts w:hint="eastAsia" w:ascii="楷体_GB2312" w:eastAsia="楷体_GB2312" w:cs="Times New Roman"/>
          <w:szCs w:val="32"/>
          <w14:ligatures w14:val="none"/>
        </w:rPr>
        <w:t>国家高新技术企业新认定和重新认定奖励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hint="eastAsia" w:ascii="仿宋_GB2312" w:hAnsi="仿宋_GB2312" w:eastAsia="仿宋_GB2312" w:cs="仿宋_GB2312"/>
          <w:szCs w:val="32"/>
          <w14:ligatures w14:val="none"/>
        </w:rPr>
      </w:pPr>
      <w:r>
        <w:rPr>
          <w:rFonts w:hint="eastAsia" w:ascii="仿宋_GB2312" w:hAnsi="仿宋_GB2312" w:eastAsia="仿宋_GB2312" w:cs="仿宋_GB2312"/>
          <w:szCs w:val="32"/>
          <w14:ligatures w14:val="none"/>
        </w:rPr>
        <w:t>（一）支持标准</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对《若干措施》有效期内新认定的国家高新技术企业，给予5</w:t>
      </w:r>
      <w:r>
        <w:rPr>
          <w:rFonts w:cs="Times New Roman"/>
          <w:szCs w:val="32"/>
          <w14:ligatures w14:val="none"/>
        </w:rPr>
        <w:t>0</w:t>
      </w:r>
      <w:r>
        <w:rPr>
          <w:rFonts w:hint="eastAsia" w:cs="Times New Roman"/>
          <w:szCs w:val="32"/>
          <w14:ligatures w14:val="none"/>
        </w:rPr>
        <w:t>万元奖励，奖励分两年申请，第一年申请奖励金额的5</w:t>
      </w:r>
      <w:r>
        <w:rPr>
          <w:rFonts w:cs="Times New Roman"/>
          <w:szCs w:val="32"/>
          <w14:ligatures w14:val="none"/>
        </w:rPr>
        <w:t>0%</w:t>
      </w:r>
      <w:r>
        <w:rPr>
          <w:rFonts w:hint="eastAsia" w:cs="Times New Roman"/>
          <w:szCs w:val="32"/>
          <w14:ligatures w14:val="none"/>
        </w:rPr>
        <w:t>，第二年申请剩余</w:t>
      </w:r>
      <w:r>
        <w:rPr>
          <w:rFonts w:cs="Times New Roman"/>
          <w:szCs w:val="32"/>
          <w14:ligatures w14:val="none"/>
        </w:rPr>
        <w:t>50%</w:t>
      </w:r>
      <w:r>
        <w:rPr>
          <w:rFonts w:hint="eastAsia" w:cs="Times New Roman"/>
          <w:szCs w:val="32"/>
          <w14:ligatures w14:val="none"/>
        </w:rPr>
        <w:t>；对《若干措施》有效期内重新认定的国家高新技术企业，一次性给予1</w:t>
      </w:r>
      <w:r>
        <w:rPr>
          <w:rFonts w:cs="Times New Roman"/>
          <w:szCs w:val="32"/>
          <w14:ligatures w14:val="none"/>
        </w:rPr>
        <w:t>0</w:t>
      </w:r>
      <w:r>
        <w:rPr>
          <w:rFonts w:hint="eastAsia" w:cs="Times New Roman"/>
          <w:szCs w:val="32"/>
          <w14:ligatures w14:val="none"/>
        </w:rPr>
        <w:t>万元奖励。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（二）申报要求</w:t>
      </w:r>
      <w:r>
        <w:rPr>
          <w:rFonts w:hint="eastAsia" w:cs="Times New Roman"/>
          <w:kern w:val="0"/>
          <w:szCs w:val="32"/>
          <w14:ligatures w14:val="none"/>
        </w:rPr>
        <w:t>及说明</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1.</w:t>
      </w:r>
      <w:r>
        <w:rPr>
          <w:rFonts w:hint="eastAsia" w:cs="Times New Roman"/>
          <w:szCs w:val="32"/>
          <w14:ligatures w14:val="none"/>
        </w:rPr>
        <w:t>新认定的国家高新技术企业</w:t>
      </w:r>
      <w:r>
        <w:rPr>
          <w:rFonts w:hint="eastAsia" w:cs="Times New Roman"/>
          <w:kern w:val="0"/>
          <w:szCs w:val="32"/>
          <w14:ligatures w14:val="none"/>
        </w:rPr>
        <w:t>是指申报主体自注册成立起，首次获得由海南省高新技术企业认定管理机构颁发的高新技术企业证书，且发证日期不早于</w:t>
      </w:r>
      <w:r>
        <w:rPr>
          <w:rFonts w:hint="eastAsia" w:cs="Times New Roman"/>
          <w:szCs w:val="32"/>
          <w14:ligatures w14:val="none"/>
        </w:rPr>
        <w:t>《若干措施》</w:t>
      </w:r>
      <w:r>
        <w:rPr>
          <w:rFonts w:hint="eastAsia" w:cs="Times New Roman"/>
          <w:kern w:val="0"/>
          <w:szCs w:val="32"/>
          <w14:ligatures w14:val="none"/>
        </w:rPr>
        <w:t>施行之日；</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2.企业更名后重新核发认定证书的，不属于新认定或重新认定；</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3.</w:t>
      </w:r>
      <w:r>
        <w:rPr>
          <w:rFonts w:hint="eastAsia" w:cs="Times New Roman"/>
          <w:kern w:val="0"/>
          <w:szCs w:val="32"/>
          <w14:ligatures w14:val="none"/>
        </w:rPr>
        <w:t>申报主体</w:t>
      </w:r>
      <w:r>
        <w:rPr>
          <w:rFonts w:hint="eastAsia" w:cs="Times New Roman"/>
          <w:szCs w:val="32"/>
          <w14:ligatures w14:val="none"/>
        </w:rPr>
        <w:t>提交申请材料（不含补正申请材料）时，申报主体的国家高新技术企业证书在有效期内；</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kern w:val="0"/>
          <w:szCs w:val="32"/>
          <w14:ligatures w14:val="none"/>
        </w:rPr>
        <w:t>4</w:t>
      </w:r>
      <w:r>
        <w:rPr>
          <w:rFonts w:cs="Times New Roman"/>
          <w:szCs w:val="32"/>
          <w14:ligatures w14:val="none"/>
        </w:rPr>
        <w:t>.</w:t>
      </w:r>
      <w:r>
        <w:rPr>
          <w:rFonts w:hint="eastAsia" w:cs="Times New Roman"/>
          <w:szCs w:val="32"/>
          <w14:ligatures w14:val="none"/>
        </w:rPr>
        <w:t>本奖励与三亚市出台的国家高新技术企业首次认定、重新认定、复核通过的奖补政策，不得重复申请。</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（三）申报材料</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国家高新技术企业证书复印件。</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ascii="楷体_GB2312" w:cs="Times New Roman"/>
          <w:szCs w:val="32"/>
          <w14:ligatures w14:val="none"/>
        </w:rPr>
      </w:pPr>
      <w:r>
        <w:rPr>
          <w:rFonts w:hint="eastAsia" w:eastAsia="楷体_GB2312" w:cs="Times New Roman"/>
          <w:szCs w:val="32"/>
          <w14:ligatures w14:val="none"/>
        </w:rPr>
        <w:t>第十二条</w:t>
      </w:r>
      <w:r>
        <w:rPr>
          <w:rFonts w:eastAsia="楷体_GB2312" w:cs="Times New Roman"/>
          <w:szCs w:val="32"/>
          <w14:ligatures w14:val="none"/>
        </w:rPr>
        <w:t xml:space="preserve"> </w:t>
      </w:r>
      <w:bookmarkStart w:id="7" w:name="_Hlk204264536"/>
      <w:r>
        <w:rPr>
          <w:rFonts w:hint="eastAsia" w:eastAsia="楷体_GB2312" w:cs="Times New Roman"/>
          <w:szCs w:val="32"/>
          <w14:ligatures w14:val="none"/>
        </w:rPr>
        <w:t>专精特新企业和</w:t>
      </w:r>
      <w:bookmarkEnd w:id="7"/>
      <w:r>
        <w:rPr>
          <w:rFonts w:hint="eastAsia" w:ascii="楷体_GB2312" w:eastAsia="楷体_GB2312" w:cs="Times New Roman"/>
          <w:szCs w:val="32"/>
          <w14:ligatures w14:val="none"/>
        </w:rPr>
        <w:t>国家高新技术企业小升规奖励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（一）支持标准</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对《若干措施》有效期内首次纳入国家统计局统计云联网直报系统（非转专业）的规模以上</w:t>
      </w:r>
      <w:bookmarkStart w:id="8" w:name="_Hlk203578736"/>
      <w:r>
        <w:rPr>
          <w:rFonts w:hint="eastAsia" w:cs="Times New Roman"/>
          <w:szCs w:val="32"/>
          <w14:ligatures w14:val="none"/>
        </w:rPr>
        <w:t>国家级专精特新“小巨人”企业、海南省专精特新中小企业或</w:t>
      </w:r>
      <w:bookmarkEnd w:id="8"/>
      <w:r>
        <w:rPr>
          <w:rFonts w:hint="eastAsia" w:cs="Times New Roman"/>
          <w:szCs w:val="32"/>
          <w14:ligatures w14:val="none"/>
        </w:rPr>
        <w:t>国家高新技术企业，一次性给予</w:t>
      </w:r>
      <w:r>
        <w:rPr>
          <w:rFonts w:cs="Times New Roman"/>
          <w:szCs w:val="32"/>
          <w14:ligatures w14:val="none"/>
        </w:rPr>
        <w:t>10</w:t>
      </w:r>
      <w:r>
        <w:rPr>
          <w:rFonts w:hint="eastAsia" w:cs="Times New Roman"/>
          <w:szCs w:val="32"/>
          <w14:ligatures w14:val="none"/>
        </w:rPr>
        <w:t>万元奖励。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（二）申报要求及说明</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1.</w:t>
      </w:r>
      <w:r>
        <w:rPr>
          <w:rFonts w:hint="eastAsia" w:cs="Times New Roman"/>
          <w:szCs w:val="32"/>
          <w14:ligatures w14:val="none"/>
        </w:rPr>
        <w:t>申报主体自《若干措施》施行之日起首次升规纳入国家统计局统计云联网直报系统统计；</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2.</w:t>
      </w:r>
      <w:r>
        <w:rPr>
          <w:rFonts w:hint="eastAsia" w:cs="Times New Roman"/>
          <w:szCs w:val="32"/>
          <w14:ligatures w14:val="none"/>
        </w:rPr>
        <w:t>申报主体提交申请材料（不含补正申请材料）时，申报主体的</w:t>
      </w:r>
      <w:bookmarkStart w:id="9" w:name="_Hlk203578754"/>
      <w:r>
        <w:rPr>
          <w:rFonts w:hint="eastAsia" w:cs="Times New Roman"/>
          <w:szCs w:val="32"/>
          <w14:ligatures w14:val="none"/>
        </w:rPr>
        <w:t>国家级专精特新“小巨人”企业、海南省专精特新中小企业或</w:t>
      </w:r>
      <w:bookmarkEnd w:id="9"/>
      <w:r>
        <w:rPr>
          <w:rFonts w:hint="eastAsia" w:cs="Times New Roman"/>
          <w:szCs w:val="32"/>
          <w14:ligatures w14:val="none"/>
        </w:rPr>
        <w:t>国家高新技术企业资质在有效期内。</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（三）申报材料</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1.</w:t>
      </w:r>
      <w:r>
        <w:rPr>
          <w:rFonts w:hint="eastAsia" w:cs="Times New Roman"/>
          <w:szCs w:val="32"/>
          <w14:ligatures w14:val="none"/>
        </w:rPr>
        <w:t>申请前一个月月度调查单位基本情况表（表号：</w:t>
      </w:r>
      <w:r>
        <w:rPr>
          <w:rFonts w:cs="Times New Roman"/>
          <w:szCs w:val="32"/>
          <w14:ligatures w14:val="none"/>
        </w:rPr>
        <w:t>201-1</w:t>
      </w:r>
      <w:r>
        <w:rPr>
          <w:rFonts w:hint="eastAsia" w:cs="Times New Roman"/>
          <w:szCs w:val="32"/>
          <w14:ligatures w14:val="none"/>
        </w:rPr>
        <w:t>表，申报主体自行登录国家统计局统计云联网直报系统下载）；</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2.</w:t>
      </w:r>
      <w:r>
        <w:rPr>
          <w:rFonts w:hint="eastAsia" w:cs="Times New Roman"/>
          <w:szCs w:val="32"/>
          <w14:ligatures w14:val="none"/>
        </w:rPr>
        <w:t>国家级专精特新“小巨人”企业、海南省专精特新中小企业或国家高新技术企业认定证明材料（提供资质证书复印件，无文件证书的</w:t>
      </w:r>
      <w:r>
        <w:rPr>
          <w:rFonts w:hint="eastAsia" w:cs="Times New Roman"/>
          <w:kern w:val="0"/>
          <w:szCs w:val="32"/>
          <w14:ligatures w14:val="none"/>
        </w:rPr>
        <w:t>，则</w:t>
      </w:r>
      <w:r>
        <w:rPr>
          <w:rFonts w:hint="eastAsia" w:cs="Times New Roman"/>
          <w:szCs w:val="32"/>
          <w14:ligatures w14:val="none"/>
        </w:rPr>
        <w:t>提供主管认定部门通过官方网站等途径最终公告的名单）。</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ascii="楷体_GB2312" w:eastAsia="楷体_GB2312" w:cs="Times New Roman"/>
          <w:szCs w:val="32"/>
          <w14:ligatures w14:val="none"/>
        </w:rPr>
      </w:pPr>
      <w:r>
        <w:rPr>
          <w:rFonts w:hint="eastAsia" w:eastAsia="楷体_GB2312" w:cs="Times New Roman"/>
          <w:szCs w:val="32"/>
          <w14:ligatures w14:val="none"/>
        </w:rPr>
        <w:t>第十三条</w:t>
      </w:r>
      <w:r>
        <w:rPr>
          <w:rFonts w:eastAsia="楷体_GB2312" w:cs="Times New Roman"/>
          <w:szCs w:val="32"/>
          <w14:ligatures w14:val="none"/>
        </w:rPr>
        <w:t xml:space="preserve"> </w:t>
      </w:r>
      <w:r>
        <w:rPr>
          <w:rFonts w:hint="eastAsia" w:ascii="楷体_GB2312" w:eastAsia="楷体_GB2312" w:cs="Times New Roman"/>
          <w:szCs w:val="32"/>
          <w14:ligatures w14:val="none"/>
        </w:rPr>
        <w:t>国家高新技术企业研发投入奖励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（一）支持标准</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对国家高新技术企业，按其上一年度研发费用的</w:t>
      </w:r>
      <w:r>
        <w:rPr>
          <w:rFonts w:cs="Times New Roman"/>
          <w:szCs w:val="32"/>
          <w14:ligatures w14:val="none"/>
        </w:rPr>
        <w:t>30%</w:t>
      </w:r>
      <w:r>
        <w:rPr>
          <w:rFonts w:hint="eastAsia" w:cs="Times New Roman"/>
          <w:szCs w:val="32"/>
          <w14:ligatures w14:val="none"/>
        </w:rPr>
        <w:t>给予每年最高不超过</w:t>
      </w:r>
      <w:r>
        <w:rPr>
          <w:rFonts w:cs="Times New Roman"/>
          <w:szCs w:val="32"/>
          <w14:ligatures w14:val="none"/>
        </w:rPr>
        <w:t>50</w:t>
      </w:r>
      <w:r>
        <w:rPr>
          <w:rFonts w:hint="eastAsia" w:cs="Times New Roman"/>
          <w:szCs w:val="32"/>
          <w14:ligatures w14:val="none"/>
        </w:rPr>
        <w:t>万元奖励。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（二）申报要求</w:t>
      </w:r>
      <w:r>
        <w:rPr>
          <w:rFonts w:hint="eastAsia" w:cs="Times New Roman"/>
          <w:kern w:val="0"/>
          <w:szCs w:val="32"/>
          <w14:ligatures w14:val="none"/>
        </w:rPr>
        <w:t>及说明</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1.</w:t>
      </w:r>
      <w:r>
        <w:rPr>
          <w:rFonts w:hint="eastAsia" w:cs="Times New Roman"/>
          <w:szCs w:val="32"/>
          <w14:ligatures w14:val="none"/>
        </w:rPr>
        <w:t>本奖励与三亚市、管理局出台的其他研发投入类奖补政策，不得重复申请；</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2.申报本奖励的研发费用应当为《若干措施》印发所在年度及之后产生的研发费用；</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3</w:t>
      </w:r>
      <w:r>
        <w:rPr>
          <w:rFonts w:cs="Times New Roman"/>
          <w:szCs w:val="32"/>
          <w14:ligatures w14:val="none"/>
        </w:rPr>
        <w:t>.</w:t>
      </w:r>
      <w:r>
        <w:rPr>
          <w:rFonts w:hint="eastAsia" w:cs="Times New Roman"/>
          <w:szCs w:val="32"/>
          <w14:ligatures w14:val="none"/>
        </w:rPr>
        <w:t>申报主体提交申请材料（不含补正申请材料）时，申报主体的国家高新技术企业证书在有效期内；</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4</w:t>
      </w:r>
      <w:r>
        <w:rPr>
          <w:rFonts w:cs="Times New Roman"/>
          <w:szCs w:val="32"/>
          <w14:ligatures w14:val="none"/>
        </w:rPr>
        <w:t>.</w:t>
      </w:r>
      <w:r>
        <w:rPr>
          <w:rFonts w:hint="eastAsia" w:cs="Times New Roman"/>
          <w:szCs w:val="32"/>
          <w14:ligatures w14:val="none"/>
        </w:rPr>
        <w:t>申报主体上一年度的研发费用总额占同期销售收入的比例不低于</w:t>
      </w:r>
      <w:r>
        <w:rPr>
          <w:rFonts w:cs="Times New Roman"/>
          <w:szCs w:val="32"/>
          <w14:ligatures w14:val="none"/>
        </w:rPr>
        <w:t>3%</w:t>
      </w:r>
      <w:r>
        <w:rPr>
          <w:rFonts w:hint="eastAsia" w:cs="Times New Roman"/>
          <w:szCs w:val="32"/>
          <w14:ligatures w14:val="none"/>
        </w:rPr>
        <w:t>，以研发费用专项审计报告或税务专项鉴证报告为准；申报主体上一年度高新技术产品（服务）收入占企业同期销售收入的比例不低于</w:t>
      </w:r>
      <w:r>
        <w:rPr>
          <w:rFonts w:cs="Times New Roman"/>
          <w:szCs w:val="32"/>
          <w14:ligatures w14:val="none"/>
        </w:rPr>
        <w:t>60%</w:t>
      </w:r>
      <w:r>
        <w:rPr>
          <w:rFonts w:hint="eastAsia" w:cs="Times New Roman"/>
          <w:szCs w:val="32"/>
          <w14:ligatures w14:val="none"/>
        </w:rPr>
        <w:t>，以高新技术产品（服务）收入专项审计报告或税务专项鉴证报告为准，报告应列明研发费用总额、高新技术产品（服务）收入总额及其同期销售收入总额。</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（三）申报材料</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1.</w:t>
      </w:r>
      <w:r>
        <w:rPr>
          <w:rFonts w:hint="eastAsia" w:cs="Times New Roman"/>
          <w:szCs w:val="32"/>
          <w14:ligatures w14:val="none"/>
        </w:rPr>
        <w:t>国家高新技术企业证书复印件；</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cs="Times New Roman"/>
          <w:szCs w:val="32"/>
          <w14:ligatures w14:val="none"/>
        </w:rPr>
        <w:t>2.</w:t>
      </w:r>
      <w:r>
        <w:rPr>
          <w:rFonts w:hint="eastAsia" w:cs="Times New Roman"/>
          <w:szCs w:val="32"/>
          <w14:ligatures w14:val="none"/>
        </w:rPr>
        <w:t>经财政部注册会计师行业统一监管平台备案的专项审计报告或经中税协信息服务平台备案的税务专项鉴证报告。</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ascii="楷体_GB2312" w:eastAsia="楷体_GB2312" w:cs="Times New Roman"/>
          <w:szCs w:val="32"/>
          <w14:ligatures w14:val="none"/>
        </w:rPr>
      </w:pPr>
      <w:r>
        <w:rPr>
          <w:rFonts w:hint="eastAsia" w:eastAsia="楷体_GB2312" w:cs="Times New Roman"/>
          <w:szCs w:val="32"/>
          <w14:ligatures w14:val="none"/>
        </w:rPr>
        <w:t>第十四条</w:t>
      </w:r>
      <w:r>
        <w:rPr>
          <w:rFonts w:eastAsia="楷体_GB2312" w:cs="Times New Roman"/>
          <w:szCs w:val="32"/>
          <w14:ligatures w14:val="none"/>
        </w:rPr>
        <w:t xml:space="preserve"> </w:t>
      </w:r>
      <w:r>
        <w:rPr>
          <w:rFonts w:hint="eastAsia" w:ascii="楷体_GB2312" w:eastAsia="楷体_GB2312" w:cs="Times New Roman"/>
          <w:szCs w:val="32"/>
          <w14:ligatures w14:val="none"/>
        </w:rPr>
        <w:t>海南省高新技术企业“精英行动”奖励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hint="eastAsia" w:ascii="仿宋_GB2312" w:hAnsi="仿宋_GB2312" w:cs="仿宋_GB2312"/>
          <w:szCs w:val="32"/>
          <w14:ligatures w14:val="none"/>
        </w:rPr>
      </w:pPr>
      <w:r>
        <w:rPr>
          <w:rFonts w:hint="eastAsia" w:ascii="仿宋_GB2312" w:hAnsi="仿宋_GB2312" w:cs="仿宋_GB2312"/>
          <w:szCs w:val="32"/>
          <w14:ligatures w14:val="none"/>
        </w:rPr>
        <w:t>（一）支持标准</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szCs w:val="32"/>
          <w14:ligatures w14:val="none"/>
        </w:rPr>
        <w:t>对海南省高新技术领军企业、海南省高新技术瞪羚企业、海南省高新技术种子企业，分别给予</w:t>
      </w:r>
      <w:r>
        <w:rPr>
          <w:rFonts w:cs="Times New Roman"/>
          <w:szCs w:val="32"/>
          <w14:ligatures w14:val="none"/>
        </w:rPr>
        <w:t>80</w:t>
      </w:r>
      <w:r>
        <w:rPr>
          <w:rFonts w:hint="eastAsia" w:cs="Times New Roman"/>
          <w:szCs w:val="32"/>
          <w14:ligatures w14:val="none"/>
        </w:rPr>
        <w:t>万元、</w:t>
      </w:r>
      <w:r>
        <w:rPr>
          <w:rFonts w:cs="Times New Roman"/>
          <w:szCs w:val="32"/>
          <w14:ligatures w14:val="none"/>
        </w:rPr>
        <w:t>40</w:t>
      </w:r>
      <w:r>
        <w:rPr>
          <w:rFonts w:hint="eastAsia" w:cs="Times New Roman"/>
          <w:szCs w:val="32"/>
          <w14:ligatures w14:val="none"/>
        </w:rPr>
        <w:t>万元、</w:t>
      </w:r>
      <w:r>
        <w:rPr>
          <w:rFonts w:cs="Times New Roman"/>
          <w:szCs w:val="32"/>
          <w14:ligatures w14:val="none"/>
        </w:rPr>
        <w:t>20</w:t>
      </w:r>
      <w:r>
        <w:rPr>
          <w:rFonts w:hint="eastAsia" w:cs="Times New Roman"/>
          <w:szCs w:val="32"/>
          <w14:ligatures w14:val="none"/>
        </w:rPr>
        <w:t>万元奖励；奖励分两年申请，第一年申请奖励金额的</w:t>
      </w:r>
      <w:r>
        <w:rPr>
          <w:rFonts w:cs="Times New Roman"/>
          <w:szCs w:val="32"/>
          <w14:ligatures w14:val="none"/>
        </w:rPr>
        <w:t>50%</w:t>
      </w:r>
      <w:r>
        <w:rPr>
          <w:rFonts w:hint="eastAsia" w:cs="Times New Roman"/>
          <w:szCs w:val="32"/>
          <w14:ligatures w14:val="none"/>
        </w:rPr>
        <w:t>，第二年申请剩余50%。</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（二）申报要求及说明</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kern w:val="0"/>
          <w:szCs w:val="32"/>
          <w14:ligatures w14:val="none"/>
        </w:rPr>
        <w:t>1.</w:t>
      </w:r>
      <w:r>
        <w:rPr>
          <w:rFonts w:hint="eastAsia" w:cs="Times New Roman"/>
          <w:kern w:val="0"/>
          <w:szCs w:val="32"/>
          <w14:ligatures w14:val="none"/>
        </w:rPr>
        <w:t>申报主体提交申请材料（不含补正申请材料）时，申报主体的海南省高新技术领军企业、海南省高新技术瞪羚企业、海南省高新技术种子企业资质在有效期内，且其国家高新技术企业证书在有效期内</w:t>
      </w:r>
      <w:r>
        <w:rPr>
          <w:rFonts w:hint="eastAsia" w:cs="Times New Roman"/>
          <w:szCs w:val="32"/>
          <w14:ligatures w14:val="none"/>
        </w:rPr>
        <w:t>；</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kern w:val="0"/>
          <w:szCs w:val="32"/>
          <w14:ligatures w14:val="none"/>
        </w:rPr>
        <w:t>2.</w:t>
      </w:r>
      <w:r>
        <w:rPr>
          <w:rFonts w:hint="eastAsia" w:cs="Times New Roman"/>
          <w:szCs w:val="32"/>
          <w14:ligatures w14:val="none"/>
        </w:rPr>
        <w:t>同一家企业不重复享受同一级别奖励；</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3.本奖励实施晋级补差</w:t>
      </w:r>
      <w:r>
        <w:rPr>
          <w:rFonts w:hint="eastAsia" w:cs="Times New Roman"/>
          <w:kern w:val="0"/>
          <w:szCs w:val="32"/>
          <w14:ligatures w14:val="none"/>
        </w:rPr>
        <w:t>；</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kern w:val="0"/>
          <w:szCs w:val="32"/>
          <w14:ligatures w14:val="none"/>
        </w:rPr>
        <w:t>4.申报主体晋级后，所申请的奖励应当扣除已发放部分，剩余奖励资金由申报主体分两年申请，每年各申请50%。</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（三）申报材料</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1.</w:t>
      </w:r>
      <w:r>
        <w:rPr>
          <w:rFonts w:hint="eastAsia" w:cs="Times New Roman"/>
          <w:szCs w:val="32"/>
          <w14:ligatures w14:val="none"/>
        </w:rPr>
        <w:t>国家高新技术企业证书复印件；</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2.</w:t>
      </w:r>
      <w:r>
        <w:rPr>
          <w:rFonts w:hint="eastAsia" w:cs="Times New Roman"/>
          <w:szCs w:val="32"/>
          <w14:ligatures w14:val="none"/>
        </w:rPr>
        <w:t>申报奖励对应的认定证明材料（提供资质证书复印件，无文件证书的，则提供主管认定部门通过官方网站等途径最终公告的名单）。</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ascii="楷体_GB2312" w:eastAsia="楷体_GB2312" w:cs="Times New Roman"/>
          <w:szCs w:val="32"/>
          <w14:ligatures w14:val="none"/>
        </w:rPr>
      </w:pPr>
      <w:r>
        <w:rPr>
          <w:rFonts w:hint="eastAsia" w:eastAsia="楷体_GB2312" w:cs="Times New Roman"/>
          <w:szCs w:val="32"/>
          <w14:ligatures w14:val="none"/>
        </w:rPr>
        <w:t>第十五条</w:t>
      </w:r>
      <w:r>
        <w:rPr>
          <w:rFonts w:eastAsia="楷体_GB2312" w:cs="Times New Roman"/>
          <w:szCs w:val="32"/>
          <w14:ligatures w14:val="none"/>
        </w:rPr>
        <w:t xml:space="preserve"> </w:t>
      </w:r>
      <w:r>
        <w:rPr>
          <w:rFonts w:hint="eastAsia" w:ascii="楷体_GB2312" w:eastAsia="楷体_GB2312" w:cs="Times New Roman"/>
          <w:szCs w:val="32"/>
          <w14:ligatures w14:val="none"/>
        </w:rPr>
        <w:t>科技型企业科技保险补贴</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ascii="仿宋_GB2312" w:cs="Times New Roman"/>
          <w:kern w:val="0"/>
          <w:szCs w:val="32"/>
          <w:shd w:val="clear" w:color="auto" w:fill="FFFFFF"/>
          <w14:ligatures w14:val="none"/>
        </w:rPr>
      </w:pPr>
      <w:r>
        <w:rPr>
          <w:rFonts w:hint="eastAsia" w:ascii="仿宋_GB2312" w:cs="Times New Roman"/>
          <w:kern w:val="0"/>
          <w:szCs w:val="32"/>
          <w:shd w:val="clear" w:color="auto" w:fill="FFFFFF"/>
          <w14:ligatures w14:val="none"/>
        </w:rPr>
        <w:t>（一）支持标准</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szCs w:val="32"/>
          <w14:ligatures w14:val="none"/>
        </w:rPr>
        <w:t>《若干措施》</w:t>
      </w:r>
      <w:r>
        <w:rPr>
          <w:rFonts w:hint="eastAsia" w:cs="Times New Roman"/>
          <w:kern w:val="0"/>
          <w:szCs w:val="32"/>
          <w14:ligatures w14:val="none"/>
        </w:rPr>
        <w:t>有效期内，按照科技型企业实际支付科技保险保费的60%，给予科技保险补贴，每家企业每年补贴最高不超过50万元。</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（二）申报要求及说明</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cs="Times New Roman"/>
          <w:kern w:val="0"/>
          <w:szCs w:val="32"/>
          <w14:ligatures w14:val="none"/>
        </w:rPr>
        <w:t>1.</w:t>
      </w:r>
      <w:r>
        <w:rPr>
          <w:rFonts w:hint="eastAsia" w:cs="Times New Roman"/>
          <w:kern w:val="0"/>
          <w:szCs w:val="32"/>
          <w14:ligatures w14:val="none"/>
        </w:rPr>
        <w:t>投保人提交相应承诺文件对保险业务开展的真实性、有效性负责，补贴资金直接拨付至投保人账户；</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cs="Times New Roman"/>
          <w:kern w:val="0"/>
          <w:szCs w:val="32"/>
          <w14:ligatures w14:val="none"/>
        </w:rPr>
        <w:t>2.</w:t>
      </w:r>
      <w:r>
        <w:rPr>
          <w:rFonts w:hint="eastAsia" w:cs="Times New Roman"/>
          <w:kern w:val="0"/>
          <w:szCs w:val="32"/>
          <w14:ligatures w14:val="none"/>
        </w:rPr>
        <w:t>投保人与被保险人一致，且与承保单位不存在关联关系；</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cs="Times New Roman"/>
          <w:kern w:val="0"/>
          <w:szCs w:val="32"/>
          <w14:ligatures w14:val="none"/>
        </w:rPr>
        <w:t>3.</w:t>
      </w:r>
      <w:r>
        <w:rPr>
          <w:rFonts w:hint="eastAsia" w:cs="Times New Roman"/>
          <w:kern w:val="0"/>
          <w:szCs w:val="32"/>
          <w14:ligatures w14:val="none"/>
        </w:rPr>
        <w:t>投保人签署的保险合同（或保单）、保险缴费发票、款项支付的主体应当一致，且款项支付日期不早于《若干措施》施行之日；</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cs="Times New Roman"/>
          <w:kern w:val="0"/>
          <w:szCs w:val="32"/>
          <w14:ligatures w14:val="none"/>
        </w:rPr>
        <w:t>4.</w:t>
      </w:r>
      <w:r>
        <w:rPr>
          <w:rFonts w:hint="eastAsia" w:cs="Times New Roman"/>
          <w:kern w:val="0"/>
          <w:szCs w:val="32"/>
          <w14:ligatures w14:val="none"/>
        </w:rPr>
        <w:t>多笔保费可合并申请，每次用于申请奖补的保费合计不低于</w:t>
      </w:r>
      <w:r>
        <w:rPr>
          <w:rFonts w:cs="Times New Roman"/>
          <w:kern w:val="0"/>
          <w:szCs w:val="32"/>
          <w14:ligatures w14:val="none"/>
        </w:rPr>
        <w:t>2500</w:t>
      </w:r>
      <w:r>
        <w:rPr>
          <w:rFonts w:hint="eastAsia" w:cs="Times New Roman"/>
          <w:kern w:val="0"/>
          <w:szCs w:val="32"/>
          <w14:ligatures w14:val="none"/>
        </w:rPr>
        <w:t>元；</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kern w:val="0"/>
          <w:szCs w:val="32"/>
          <w14:ligatures w14:val="none"/>
        </w:rPr>
        <w:t>5.</w:t>
      </w:r>
      <w:r>
        <w:rPr>
          <w:rFonts w:hint="eastAsia" w:cs="Times New Roman"/>
          <w:kern w:val="0"/>
          <w:szCs w:val="32"/>
          <w14:ligatures w14:val="none"/>
        </w:rPr>
        <w:t>申报主体提交申请材料（不含补正申请材料）时，投保人的科技型企业资质在有效期内</w:t>
      </w:r>
      <w:r>
        <w:rPr>
          <w:rFonts w:hint="eastAsia" w:cs="Times New Roman"/>
          <w:szCs w:val="32"/>
          <w14:ligatures w14:val="none"/>
        </w:rPr>
        <w:t>；</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6.</w:t>
      </w:r>
      <w:r>
        <w:rPr>
          <w:rFonts w:hint="eastAsia" w:cs="Times New Roman"/>
          <w:szCs w:val="32"/>
          <w14:ligatures w14:val="none"/>
        </w:rPr>
        <w:t>本条政策与管理局支持的其他科技保险政策，申报主体只可择一申报。</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（三）申报材料</w:t>
      </w:r>
      <w:r>
        <w:rPr>
          <w:rFonts w:hint="eastAsia" w:cs="Times New Roman"/>
          <w:kern w:val="0"/>
          <w:szCs w:val="32"/>
          <w14:ligatures w14:val="none"/>
        </w:rPr>
        <w:t>（加盖公章）</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1.</w:t>
      </w:r>
      <w:r>
        <w:rPr>
          <w:rFonts w:hint="eastAsia" w:cs="Times New Roman"/>
          <w:szCs w:val="32"/>
          <w14:ligatures w14:val="none"/>
        </w:rPr>
        <w:t>科技型企业资质证明材料</w:t>
      </w:r>
      <w:r>
        <w:rPr>
          <w:rFonts w:hint="eastAsia" w:cs="Times New Roman"/>
          <w:kern w:val="0"/>
          <w:szCs w:val="32"/>
          <w14:ligatures w14:val="none"/>
        </w:rPr>
        <w:t>（提供资质证书复印件，无文件证书的，则提供主管认定部门通过官方网站等途径最终公告的名单）</w:t>
      </w:r>
      <w:r>
        <w:rPr>
          <w:rFonts w:hint="eastAsia" w:cs="Times New Roman"/>
          <w:szCs w:val="32"/>
          <w14:ligatures w14:val="none"/>
        </w:rPr>
        <w:t>；</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2.</w:t>
      </w:r>
      <w:r>
        <w:rPr>
          <w:rFonts w:hint="eastAsia" w:cs="Times New Roman"/>
          <w:szCs w:val="32"/>
          <w14:ligatures w14:val="none"/>
        </w:rPr>
        <w:t>保险合同（或保单）、全额保险费发票及付款凭证。</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ascii="楷体_GB2312" w:eastAsia="楷体_GB2312" w:cs="Times New Roman"/>
          <w:szCs w:val="32"/>
          <w14:ligatures w14:val="none"/>
        </w:rPr>
      </w:pPr>
      <w:r>
        <w:rPr>
          <w:rFonts w:hint="eastAsia" w:eastAsia="楷体_GB2312" w:cs="Times New Roman"/>
          <w:szCs w:val="32"/>
          <w14:ligatures w14:val="none"/>
        </w:rPr>
        <w:t>第十六条</w:t>
      </w:r>
      <w:r>
        <w:rPr>
          <w:rFonts w:eastAsia="楷体_GB2312" w:cs="Times New Roman"/>
          <w:szCs w:val="32"/>
          <w14:ligatures w14:val="none"/>
        </w:rPr>
        <w:t xml:space="preserve"> </w:t>
      </w:r>
      <w:r>
        <w:rPr>
          <w:rFonts w:hint="eastAsia" w:ascii="楷体_GB2312" w:eastAsia="楷体_GB2312" w:cs="Times New Roman"/>
          <w:szCs w:val="32"/>
          <w14:ligatures w14:val="none"/>
        </w:rPr>
        <w:t>科技型企业贷款贴息补贴</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ascii="仿宋_GB2312" w:cs="Times New Roman"/>
          <w:kern w:val="0"/>
          <w:szCs w:val="32"/>
          <w:shd w:val="clear" w:color="auto" w:fill="FFFFFF"/>
          <w14:ligatures w14:val="none"/>
        </w:rPr>
      </w:pPr>
      <w:r>
        <w:rPr>
          <w:rFonts w:hint="eastAsia" w:ascii="仿宋_GB2312" w:cs="Times New Roman"/>
          <w:kern w:val="0"/>
          <w:szCs w:val="32"/>
          <w:shd w:val="clear" w:color="auto" w:fill="FFFFFF"/>
          <w14:ligatures w14:val="none"/>
        </w:rPr>
        <w:t>（一）支持标准</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hint="eastAsia" w:cs="Times New Roman"/>
          <w:szCs w:val="32"/>
          <w14:ligatures w14:val="none"/>
        </w:rPr>
        <w:t>《若干措施》有效期内，</w:t>
      </w:r>
      <w:r>
        <w:rPr>
          <w:rFonts w:hint="eastAsia" w:cs="Times New Roman"/>
          <w:kern w:val="0"/>
          <w:szCs w:val="32"/>
          <w14:ligatures w14:val="none"/>
        </w:rPr>
        <w:t>按照科技型企业商业银行贷款实际支付利息的</w:t>
      </w:r>
      <w:r>
        <w:rPr>
          <w:rFonts w:cs="Times New Roman"/>
          <w:kern w:val="0"/>
          <w:szCs w:val="32"/>
          <w14:ligatures w14:val="none"/>
        </w:rPr>
        <w:t>50%</w:t>
      </w:r>
      <w:r>
        <w:rPr>
          <w:rFonts w:hint="eastAsia" w:cs="Times New Roman"/>
          <w:kern w:val="0"/>
          <w:szCs w:val="32"/>
          <w14:ligatures w14:val="none"/>
        </w:rPr>
        <w:t>，给予贷款贴息补贴，每家企业每年补贴最高不超过</w:t>
      </w:r>
      <w:r>
        <w:rPr>
          <w:rFonts w:cs="Times New Roman"/>
          <w:kern w:val="0"/>
          <w:szCs w:val="32"/>
          <w14:ligatures w14:val="none"/>
        </w:rPr>
        <w:t>30</w:t>
      </w:r>
      <w:r>
        <w:rPr>
          <w:rFonts w:hint="eastAsia" w:cs="Times New Roman"/>
          <w:kern w:val="0"/>
          <w:szCs w:val="32"/>
          <w14:ligatures w14:val="none"/>
        </w:rPr>
        <w:t>万元。</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ascii="仿宋_GB2312" w:cs="Times New Roman"/>
          <w:kern w:val="0"/>
          <w:szCs w:val="32"/>
          <w:shd w:val="clear" w:color="auto" w:fill="FFFFFF"/>
          <w14:ligatures w14:val="none"/>
        </w:rPr>
      </w:pPr>
      <w:r>
        <w:rPr>
          <w:rFonts w:hint="eastAsia" w:ascii="仿宋_GB2312" w:cs="Times New Roman"/>
          <w:kern w:val="0"/>
          <w:szCs w:val="32"/>
          <w:shd w:val="clear" w:color="auto" w:fill="FFFFFF"/>
          <w14:ligatures w14:val="none"/>
        </w:rPr>
        <w:t>（二）申报要求</w:t>
      </w:r>
      <w:r>
        <w:rPr>
          <w:rFonts w:hint="eastAsia" w:cs="Times New Roman"/>
          <w:kern w:val="0"/>
          <w:szCs w:val="32"/>
          <w14:ligatures w14:val="none"/>
        </w:rPr>
        <w:t>及说明</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cs="Times New Roman"/>
          <w:kern w:val="0"/>
          <w:szCs w:val="32"/>
          <w14:ligatures w14:val="none"/>
        </w:rPr>
        <w:t>1.</w:t>
      </w:r>
      <w:r>
        <w:rPr>
          <w:rFonts w:hint="eastAsia" w:cs="Times New Roman"/>
          <w:kern w:val="0"/>
          <w:szCs w:val="32"/>
          <w14:ligatures w14:val="none"/>
        </w:rPr>
        <w:t>申报主体实际支付贷款全部本金和利息后方可申报对应补贴，单个申报主体同一年度至多申请两次本条规定的补贴；</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cs="Times New Roman"/>
          <w:kern w:val="0"/>
          <w:szCs w:val="32"/>
          <w14:ligatures w14:val="none"/>
        </w:rPr>
        <w:t>2.</w:t>
      </w:r>
      <w:r>
        <w:rPr>
          <w:rFonts w:hint="eastAsia" w:cs="Times New Roman"/>
          <w:kern w:val="0"/>
          <w:szCs w:val="32"/>
          <w14:ligatures w14:val="none"/>
        </w:rPr>
        <w:t>贷款发放日应当不早于《若干措施》施行之日；</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kern w:val="0"/>
          <w:szCs w:val="32"/>
          <w14:ligatures w14:val="none"/>
        </w:rPr>
      </w:pPr>
      <w:r>
        <w:rPr>
          <w:rFonts w:cs="Times New Roman"/>
          <w:kern w:val="0"/>
          <w:szCs w:val="32"/>
          <w14:ligatures w14:val="none"/>
        </w:rPr>
        <w:t>3.</w:t>
      </w:r>
      <w:r>
        <w:rPr>
          <w:rFonts w:hint="eastAsia" w:cs="Times New Roman"/>
          <w:kern w:val="0"/>
          <w:szCs w:val="32"/>
          <w14:ligatures w14:val="none"/>
        </w:rPr>
        <w:t>多笔贷款可合并申请，每次用于申请补贴的实际支付利息金额合计不低于30</w:t>
      </w:r>
      <w:r>
        <w:rPr>
          <w:rFonts w:cs="Times New Roman"/>
          <w:kern w:val="0"/>
          <w:szCs w:val="32"/>
          <w14:ligatures w14:val="none"/>
        </w:rPr>
        <w:t>00</w:t>
      </w:r>
      <w:r>
        <w:rPr>
          <w:rFonts w:hint="eastAsia" w:cs="Times New Roman"/>
          <w:kern w:val="0"/>
          <w:szCs w:val="32"/>
          <w14:ligatures w14:val="none"/>
        </w:rPr>
        <w:t>元；</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kern w:val="0"/>
          <w:szCs w:val="32"/>
          <w14:ligatures w14:val="none"/>
        </w:rPr>
        <w:t>4.</w:t>
      </w:r>
      <w:r>
        <w:rPr>
          <w:rFonts w:hint="eastAsia" w:cs="Times New Roman"/>
          <w:kern w:val="0"/>
          <w:szCs w:val="32"/>
          <w14:ligatures w14:val="none"/>
        </w:rPr>
        <w:t>申报主体提交申请材料（不含补正申请材料）时，申报主体的科技型企业资质在有效期内</w:t>
      </w:r>
      <w:r>
        <w:rPr>
          <w:rFonts w:hint="eastAsia" w:cs="Times New Roman"/>
          <w:szCs w:val="32"/>
          <w14:ligatures w14:val="none"/>
        </w:rPr>
        <w:t>。</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14:ligatures w14:val="none"/>
        </w:rPr>
        <w:t>（三）申报材料</w:t>
      </w:r>
      <w:r>
        <w:rPr>
          <w:rFonts w:hint="eastAsia" w:cs="Times New Roman"/>
          <w:kern w:val="0"/>
          <w:szCs w:val="32"/>
          <w14:ligatures w14:val="none"/>
        </w:rPr>
        <w:t>（加盖公章）</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1.</w:t>
      </w:r>
      <w:r>
        <w:rPr>
          <w:rFonts w:hint="eastAsia" w:cs="Times New Roman"/>
          <w:kern w:val="0"/>
          <w:szCs w:val="32"/>
          <w14:ligatures w14:val="none"/>
        </w:rPr>
        <w:t>科技型企业资质证明材料（提供资质证书复印件，无文件证书的，则提供主管认定部门通过官方网站等途径最终公告的名单）</w:t>
      </w:r>
      <w:r>
        <w:rPr>
          <w:rFonts w:hint="eastAsia" w:cs="Times New Roman"/>
          <w:szCs w:val="32"/>
          <w14:ligatures w14:val="none"/>
        </w:rPr>
        <w:t>；</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14:ligatures w14:val="none"/>
        </w:rPr>
        <w:t>2.</w:t>
      </w:r>
      <w:r>
        <w:rPr>
          <w:rFonts w:hint="eastAsia" w:cs="Times New Roman"/>
          <w:szCs w:val="32"/>
          <w14:ligatures w14:val="none"/>
        </w:rPr>
        <w:t>银行贷款审核表、企业与银行签订的贷款合同、收到贷款的银行回单、本金和利息支付凭证。</w:t>
      </w:r>
    </w:p>
    <w:p>
      <w:pPr>
        <w:keepNext w:val="0"/>
        <w:keepLines w:val="0"/>
        <w:pageBreakBefore w:val="0"/>
        <w:widowControl w:val="0"/>
        <w:kinsoku/>
        <w:wordWrap/>
        <w:overflowPunct w:val="0"/>
        <w:topLinePunct w:val="0"/>
        <w:autoSpaceDE/>
        <w:autoSpaceDN/>
        <w:bidi w:val="0"/>
        <w:adjustRightInd/>
        <w:snapToGrid/>
        <w:spacing w:after="0" w:line="578" w:lineRule="exact"/>
        <w:ind w:firstLine="0" w:firstLineChars="0"/>
        <w:jc w:val="center"/>
        <w:textAlignment w:val="auto"/>
        <w:rPr>
          <w:rFonts w:eastAsia="黑体" w:cs="黑体"/>
          <w:szCs w:val="32"/>
          <w14:ligatures w14:val="none"/>
        </w:rPr>
      </w:pPr>
      <w:r>
        <w:rPr>
          <w:rFonts w:hint="eastAsia" w:eastAsia="黑体" w:cs="黑体"/>
          <w:szCs w:val="32"/>
          <w14:ligatures w14:val="none"/>
        </w:rPr>
        <w:t>第六章</w:t>
      </w:r>
      <w:r>
        <w:rPr>
          <w:rFonts w:eastAsia="黑体" w:cs="黑体"/>
          <w:szCs w:val="32"/>
          <w14:ligatures w14:val="none"/>
        </w:rPr>
        <w:t xml:space="preserve"> </w:t>
      </w:r>
      <w:r>
        <w:rPr>
          <w:rFonts w:hint="eastAsia" w:eastAsia="黑体" w:cs="黑体"/>
          <w:szCs w:val="32"/>
          <w14:ligatures w14:val="none"/>
        </w:rPr>
        <w:t>监督管理</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仿宋_GB2312"/>
          <w:szCs w:val="32"/>
          <w14:ligatures w14:val="none"/>
        </w:rPr>
      </w:pPr>
      <w:r>
        <w:rPr>
          <w:rFonts w:hint="eastAsia" w:eastAsia="楷体_GB2312" w:cs="楷体_GB2312"/>
          <w:szCs w:val="32"/>
          <w14:ligatures w14:val="none"/>
        </w:rPr>
        <w:t>第十七条</w:t>
      </w:r>
      <w:r>
        <w:rPr>
          <w:rFonts w:eastAsia="楷体_GB2312" w:cs="楷体_GB2312"/>
          <w:szCs w:val="32"/>
          <w14:ligatures w14:val="none"/>
        </w:rPr>
        <w:t xml:space="preserve"> </w:t>
      </w:r>
      <w:r>
        <w:rPr>
          <w:rFonts w:hint="eastAsia" w:cs="仿宋_GB2312"/>
          <w:szCs w:val="32"/>
          <w14:ligatures w14:val="none"/>
        </w:rPr>
        <w:t>申报主体应当在科技城内实质性运营，坚持诚实守信原则，对材料真实性、合法性负责，应当遵守《若干措施》及其配套文件各项要求。</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仿宋_GB2312"/>
          <w:szCs w:val="32"/>
          <w14:ligatures w14:val="none"/>
        </w:rPr>
      </w:pPr>
      <w:r>
        <w:rPr>
          <w:rFonts w:hint="eastAsia" w:eastAsia="楷体_GB2312" w:cs="楷体_GB2312"/>
          <w:szCs w:val="32"/>
          <w14:ligatures w14:val="none"/>
        </w:rPr>
        <w:t>第十八条</w:t>
      </w:r>
      <w:r>
        <w:rPr>
          <w:rFonts w:eastAsia="楷体_GB2312" w:cs="楷体_GB2312"/>
          <w:szCs w:val="32"/>
          <w14:ligatures w14:val="none"/>
        </w:rPr>
        <w:t xml:space="preserve"> </w:t>
      </w:r>
      <w:r>
        <w:rPr>
          <w:rFonts w:hint="eastAsia" w:ascii="仿宋_GB2312" w:cs="仿宋_GB2312"/>
          <w:szCs w:val="32"/>
          <w:lang w:bidi="ar"/>
          <w14:ligatures w14:val="none"/>
        </w:rPr>
        <w:t>管理局对享受政策的申报主体可不定期进行走访、调查。管理局有权自行或组织第三方对申报主体提交的申请材料及奖补申领资格进行核验，如发现申报材料弄虚作假，以任何形式骗取奖补或者未履行相应要求的，申报主体应当全额退还已据此取得的奖补。同时，取消申报主体在《若干措施》下所有奖补政策的申报资格，依法依规在三亚崖州湾科技城企业信用服务平台进行信用记录，并视情节轻重追究申报主体和相关责任人员的法律责任</w:t>
      </w:r>
      <w:r>
        <w:rPr>
          <w:rFonts w:hint="eastAsia" w:cs="仿宋_GB2312"/>
          <w:szCs w:val="32"/>
          <w14:ligatures w14:val="none"/>
        </w:rPr>
        <w:t>。</w:t>
      </w: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eastAsia="黑体" w:cs="黑体"/>
          <w:szCs w:val="32"/>
          <w14:ligatures w14:val="none"/>
        </w:rPr>
      </w:pPr>
      <w:r>
        <w:rPr>
          <w:rFonts w:hint="eastAsia" w:eastAsia="楷体_GB2312" w:cs="仿宋_GB2312"/>
          <w:szCs w:val="32"/>
          <w14:ligatures w14:val="none"/>
        </w:rPr>
        <w:t>第十九条</w:t>
      </w:r>
      <w:r>
        <w:rPr>
          <w:rFonts w:cs="仿宋_GB2312"/>
          <w:szCs w:val="32"/>
          <w14:ligatures w14:val="none"/>
        </w:rPr>
        <w:t xml:space="preserve"> </w:t>
      </w:r>
      <w:r>
        <w:rPr>
          <w:rFonts w:hint="eastAsia" w:cs="仿宋_GB2312"/>
          <w:szCs w:val="32"/>
          <w14:ligatures w14:val="none"/>
        </w:rPr>
        <w:t>申报主体、审核与兑现工作人员应当严格遵守政策申报与政策兑现的廉洁性要求，坚持公私分明，坚持崇廉拒腐。对《若干措施》实施过程中违反廉洁纪律等相关规定的申报主体、审核与兑现工作人员，经核实，依法依规给予相关处理；构成违法犯罪的，</w:t>
      </w:r>
      <w:bookmarkStart w:id="10" w:name="_Hlk203579533"/>
      <w:r>
        <w:rPr>
          <w:rFonts w:hint="eastAsia" w:cs="仿宋_GB2312"/>
          <w:szCs w:val="32"/>
          <w14:ligatures w14:val="none"/>
        </w:rPr>
        <w:t>移交有权单位</w:t>
      </w:r>
      <w:bookmarkEnd w:id="10"/>
      <w:r>
        <w:rPr>
          <w:rFonts w:hint="eastAsia" w:cs="仿宋_GB2312"/>
          <w:szCs w:val="32"/>
          <w14:ligatures w14:val="none"/>
        </w:rPr>
        <w:t>依法追究其相关法律责任。</w:t>
      </w:r>
    </w:p>
    <w:p>
      <w:pPr>
        <w:keepNext w:val="0"/>
        <w:keepLines w:val="0"/>
        <w:pageBreakBefore w:val="0"/>
        <w:widowControl w:val="0"/>
        <w:kinsoku/>
        <w:wordWrap/>
        <w:overflowPunct w:val="0"/>
        <w:topLinePunct w:val="0"/>
        <w:autoSpaceDE/>
        <w:autoSpaceDN/>
        <w:bidi w:val="0"/>
        <w:adjustRightInd/>
        <w:snapToGrid/>
        <w:spacing w:after="0" w:line="578" w:lineRule="exact"/>
        <w:ind w:firstLine="0" w:firstLineChars="0"/>
        <w:jc w:val="center"/>
        <w:textAlignment w:val="auto"/>
        <w:rPr>
          <w:rFonts w:eastAsia="黑体" w:cs="黑体"/>
          <w:szCs w:val="32"/>
          <w14:ligatures w14:val="none"/>
        </w:rPr>
      </w:pPr>
      <w:r>
        <w:rPr>
          <w:rFonts w:hint="eastAsia" w:eastAsia="黑体" w:cs="黑体"/>
          <w:szCs w:val="32"/>
          <w14:ligatures w14:val="none"/>
        </w:rPr>
        <w:t>第七章</w:t>
      </w:r>
      <w:r>
        <w:rPr>
          <w:rFonts w:eastAsia="黑体" w:cs="黑体"/>
          <w:szCs w:val="32"/>
          <w14:ligatures w14:val="none"/>
        </w:rPr>
        <w:t xml:space="preserve"> </w:t>
      </w:r>
      <w:r>
        <w:rPr>
          <w:rFonts w:hint="eastAsia" w:eastAsia="黑体" w:cs="黑体"/>
          <w:szCs w:val="32"/>
          <w14:ligatures w14:val="none"/>
        </w:rPr>
        <w:t>附则</w:t>
      </w:r>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cs="仿宋_GB2312"/>
          <w:szCs w:val="32"/>
          <w14:ligatures w14:val="none"/>
        </w:rPr>
      </w:pPr>
      <w:r>
        <w:rPr>
          <w:rFonts w:hint="eastAsia" w:eastAsia="楷体_GB2312" w:cs="仿宋_GB2312"/>
          <w:szCs w:val="32"/>
          <w14:ligatures w14:val="none"/>
        </w:rPr>
        <w:t>第二十条</w:t>
      </w:r>
      <w:r>
        <w:rPr>
          <w:rFonts w:cs="仿宋_GB2312"/>
          <w:szCs w:val="32"/>
          <w14:ligatures w14:val="none"/>
        </w:rPr>
        <w:t xml:space="preserve"> </w:t>
      </w:r>
      <w:r>
        <w:rPr>
          <w:rFonts w:hint="eastAsia" w:cs="仿宋_GB2312"/>
          <w:szCs w:val="32"/>
          <w14:ligatures w14:val="none"/>
        </w:rPr>
        <w:t>名词解释</w:t>
      </w:r>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hint="eastAsia" w:ascii="仿宋_GB2312" w:hAnsi="仿宋_GB2312" w:eastAsia="仿宋_GB2312" w:cs="仿宋_GB2312"/>
          <w:szCs w:val="32"/>
          <w14:ligatures w14:val="none"/>
        </w:rPr>
      </w:pPr>
      <w:r>
        <w:rPr>
          <w:rFonts w:hint="eastAsia" w:cs="仿宋_GB2312"/>
          <w:szCs w:val="32"/>
          <w14:ligatures w14:val="none"/>
        </w:rPr>
        <w:t>（一）研发费用：参考《财政部关于企业加强研发费用财务管理的若干意见》（财企〔</w:t>
      </w:r>
      <w:r>
        <w:rPr>
          <w:rFonts w:cs="仿宋_GB2312"/>
          <w:szCs w:val="32"/>
          <w14:ligatures w14:val="none"/>
        </w:rPr>
        <w:t>2007</w:t>
      </w:r>
      <w:r>
        <w:rPr>
          <w:rFonts w:hint="eastAsia" w:cs="仿宋_GB2312"/>
          <w:szCs w:val="32"/>
          <w14:ligatures w14:val="none"/>
        </w:rPr>
        <w:t>〕</w:t>
      </w:r>
      <w:r>
        <w:rPr>
          <w:rFonts w:cs="仿宋_GB2312"/>
          <w:szCs w:val="32"/>
          <w14:ligatures w14:val="none"/>
        </w:rPr>
        <w:t>194</w:t>
      </w:r>
      <w:r>
        <w:rPr>
          <w:rFonts w:hint="eastAsia" w:cs="仿宋_GB2312"/>
          <w:szCs w:val="32"/>
          <w14:ligatures w14:val="none"/>
        </w:rPr>
        <w:t>号）的释义，企业研发费用指企业在产品、技术、材料、工艺、标准的研究、开发过程中发生的各项费用，包括：1.研发活动直接消耗的材料、燃料和动力费用；2.企业在职研发人员的工资、奖金、津贴、补贴、社会保险费、住房公积金等人工费用以及外聘研发人员的劳务费用；3.用于研发活动的仪器、设备、房屋等固定资产的折旧费或租赁费以及相关固定资产的运行维护、维修等费用；4.用于研发活动的软件、专利权、非专利技术等无形资产的摊销费用；5.用于中间试验和产品试制的模具、工艺装备开发及制造费，设备调整及检验费，样品、样机及一般测试手段购置费，试制产品的检验费等；6.研发成果的论证、评审、验收、评估以及知识产权的申请费、注册费、代理费等费用；7.通过外包、合作研发等方式，委托其他单位、个人或者与之合作进行研发而支付的费用；8.与研发活动直接相</w:t>
      </w:r>
      <w:r>
        <w:rPr>
          <w:rFonts w:hint="eastAsia" w:ascii="仿宋_GB2312" w:hAnsi="仿宋_GB2312" w:eastAsia="仿宋_GB2312" w:cs="仿宋_GB2312"/>
          <w:szCs w:val="32"/>
          <w14:ligatures w14:val="none"/>
        </w:rPr>
        <w:t>关的其他费用，包括技术图书资料费、资料翻译费、会议费、差旅费、办公费、外事费、研发人员培训费、培养费、专家咨询费用等，但《若干措施》中“国家高新技术企业研发投入奖励”的研发费用不包括高新科技研发保险费。研发费用具体以企业研发费用专项审计报告或税务专项鉴证报告为准，报告中需列明项目明细。</w:t>
      </w:r>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cs="仿宋_GB2312"/>
          <w:szCs w:val="32"/>
          <w14:ligatures w14:val="none"/>
        </w:rPr>
      </w:pPr>
      <w:r>
        <w:rPr>
          <w:rFonts w:hint="eastAsia" w:cs="仿宋_GB2312"/>
          <w:szCs w:val="32"/>
          <w14:ligatures w14:val="none"/>
        </w:rPr>
        <w:t>（二）国家高新技术企业（或高新技术企业）：根据《高新技术企业认定管理办法》（国科发火〔</w:t>
      </w:r>
      <w:r>
        <w:rPr>
          <w:rFonts w:cs="仿宋_GB2312"/>
          <w:szCs w:val="32"/>
          <w14:ligatures w14:val="none"/>
        </w:rPr>
        <w:t>2016</w:t>
      </w:r>
      <w:r>
        <w:rPr>
          <w:rFonts w:hint="eastAsia" w:cs="仿宋_GB2312"/>
          <w:szCs w:val="32"/>
          <w14:ligatures w14:val="none"/>
        </w:rPr>
        <w:t>〕</w:t>
      </w:r>
      <w:r>
        <w:rPr>
          <w:rFonts w:cs="仿宋_GB2312"/>
          <w:szCs w:val="32"/>
          <w14:ligatures w14:val="none"/>
        </w:rPr>
        <w:t>32</w:t>
      </w:r>
      <w:r>
        <w:rPr>
          <w:rFonts w:hint="eastAsia" w:cs="仿宋_GB2312"/>
          <w:szCs w:val="32"/>
          <w14:ligatures w14:val="none"/>
        </w:rPr>
        <w:t>号）和《高新技术企业认定管理工作指引》（国科发火〔</w:t>
      </w:r>
      <w:r>
        <w:rPr>
          <w:rFonts w:cs="仿宋_GB2312"/>
          <w:szCs w:val="32"/>
          <w14:ligatures w14:val="none"/>
        </w:rPr>
        <w:t>2016</w:t>
      </w:r>
      <w:r>
        <w:rPr>
          <w:rFonts w:hint="eastAsia" w:cs="仿宋_GB2312"/>
          <w:szCs w:val="32"/>
          <w14:ligatures w14:val="none"/>
        </w:rPr>
        <w:t>〕</w:t>
      </w:r>
      <w:r>
        <w:rPr>
          <w:rFonts w:cs="仿宋_GB2312"/>
          <w:szCs w:val="32"/>
          <w14:ligatures w14:val="none"/>
        </w:rPr>
        <w:t>195</w:t>
      </w:r>
      <w:r>
        <w:rPr>
          <w:rFonts w:hint="eastAsia" w:cs="仿宋_GB2312"/>
          <w:szCs w:val="32"/>
          <w14:ligatures w14:val="none"/>
        </w:rPr>
        <w:t>号）及</w:t>
      </w:r>
      <w:r>
        <w:rPr>
          <w:rFonts w:hint="eastAsia" w:cs="Times New Roman"/>
          <w:szCs w:val="32"/>
          <w14:ligatures w14:val="none"/>
        </w:rPr>
        <w:t>届时有效的规范性文件</w:t>
      </w:r>
      <w:r>
        <w:rPr>
          <w:rFonts w:hint="eastAsia" w:cs="仿宋_GB2312"/>
          <w:szCs w:val="32"/>
          <w14:ligatures w14:val="none"/>
        </w:rPr>
        <w:t>的规定，经有关部门认定在《国家重点支持的高新技术领域》内，持续进行研究开发与技术成果转化，形成企业核心自主知识产权，并以此为基础开展经营活动，在中国境内（不包括港、澳、台地区）注册的居民企业。</w:t>
      </w:r>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cs="仿宋_GB2312"/>
          <w:szCs w:val="32"/>
          <w14:ligatures w14:val="none"/>
        </w:rPr>
      </w:pPr>
      <w:r>
        <w:rPr>
          <w:rFonts w:hint="eastAsia" w:cs="仿宋_GB2312"/>
          <w:szCs w:val="32"/>
          <w14:ligatures w14:val="none"/>
        </w:rPr>
        <w:t>（三）销售收入：根据《高新技术企业认定管理工作指引》（国科发火〔</w:t>
      </w:r>
      <w:r>
        <w:rPr>
          <w:rFonts w:cs="仿宋_GB2312"/>
          <w:szCs w:val="32"/>
          <w14:ligatures w14:val="none"/>
        </w:rPr>
        <w:t>2016</w:t>
      </w:r>
      <w:r>
        <w:rPr>
          <w:rFonts w:hint="eastAsia" w:cs="仿宋_GB2312"/>
          <w:szCs w:val="32"/>
          <w14:ligatures w14:val="none"/>
        </w:rPr>
        <w:t>〕</w:t>
      </w:r>
      <w:r>
        <w:rPr>
          <w:rFonts w:cs="仿宋_GB2312"/>
          <w:szCs w:val="32"/>
          <w14:ligatures w14:val="none"/>
        </w:rPr>
        <w:t>195</w:t>
      </w:r>
      <w:r>
        <w:rPr>
          <w:rFonts w:hint="eastAsia" w:cs="仿宋_GB2312"/>
          <w:szCs w:val="32"/>
          <w14:ligatures w14:val="none"/>
        </w:rPr>
        <w:t>号）及</w:t>
      </w:r>
      <w:r>
        <w:rPr>
          <w:rFonts w:hint="eastAsia" w:cs="Times New Roman"/>
          <w:szCs w:val="32"/>
          <w14:ligatures w14:val="none"/>
        </w:rPr>
        <w:t>届时有效的规范性文件</w:t>
      </w:r>
      <w:r>
        <w:rPr>
          <w:rFonts w:hint="eastAsia" w:cs="仿宋_GB2312"/>
          <w:szCs w:val="32"/>
          <w14:ligatures w14:val="none"/>
        </w:rPr>
        <w:t>的规定，销售收入为主营业务收入和其他业务收入之和。具体以专项审计报告或税务专项鉴证报告为准。</w:t>
      </w:r>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cs="仿宋_GB2312"/>
          <w:szCs w:val="32"/>
          <w14:ligatures w14:val="none"/>
        </w:rPr>
      </w:pPr>
      <w:r>
        <w:rPr>
          <w:rFonts w:hint="eastAsia" w:cs="仿宋_GB2312"/>
          <w:szCs w:val="32"/>
          <w14:ligatures w14:val="none"/>
        </w:rPr>
        <w:t>（四）科技保险：与科技型企业技术创新和生产经营活动相关的有形或无形财产、科技企业从业人员的身体或生命、科技企业对第三方应承担的经济赔偿责任，以及创新活动的预期成果为保险标的的保险，为科技型企业生产、研发、成果转化和产业化活动提供保险保障的重要科技金融工具；包括五大类别科技保险或多个保险品种的组合：</w:t>
      </w:r>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cs="仿宋_GB2312"/>
          <w:szCs w:val="32"/>
          <w14:ligatures w14:val="none"/>
        </w:rPr>
      </w:pPr>
      <w:r>
        <w:rPr>
          <w:rFonts w:hint="eastAsia" w:cs="仿宋_GB2312"/>
          <w:szCs w:val="32"/>
          <w14:ligatures w14:val="none"/>
        </w:rPr>
        <w:t>1.科技研发</w:t>
      </w:r>
      <w:r>
        <w:rPr>
          <w:rFonts w:cs="仿宋_GB2312"/>
          <w:szCs w:val="32"/>
          <w14:ligatures w14:val="none"/>
        </w:rPr>
        <w:t>/</w:t>
      </w:r>
      <w:r>
        <w:rPr>
          <w:rFonts w:hint="eastAsia" w:cs="仿宋_GB2312"/>
          <w:szCs w:val="32"/>
          <w14:ligatures w14:val="none"/>
        </w:rPr>
        <w:t>成果转化风险类保险，即研发费用损失保险、关键研发设备保险、产品研发责任保险、研发中断保险、科研仪器开放共享损失补偿保险、科技成果转化费用损失保险等；</w:t>
      </w:r>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cs="仿宋_GB2312"/>
          <w:szCs w:val="32"/>
          <w14:ligatures w14:val="none"/>
        </w:rPr>
      </w:pPr>
      <w:r>
        <w:rPr>
          <w:rFonts w:hint="eastAsia" w:cs="仿宋_GB2312"/>
          <w:szCs w:val="32"/>
          <w14:ligatures w14:val="none"/>
        </w:rPr>
        <w:t>2.科技成果应用推广风险类保险，即科技城重点产业领域试验设备综合保险，如深海产业领域海洋试验设备保险和科考仪器保险、产品质量责任保险等；</w:t>
      </w:r>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cs="仿宋_GB2312"/>
          <w:szCs w:val="32"/>
          <w14:ligatures w14:val="none"/>
        </w:rPr>
      </w:pPr>
      <w:r>
        <w:rPr>
          <w:rFonts w:hint="eastAsia" w:cs="仿宋_GB2312"/>
          <w:szCs w:val="32"/>
          <w14:ligatures w14:val="none"/>
        </w:rPr>
        <w:t>3.知识产权风险类保险，即知识产权执行保险、知识产权侵权责任保险、专利许可信用保证保险、知识产权被侵权损失保险、海外知识产权风险类保险等；</w:t>
      </w:r>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cs="仿宋_GB2312"/>
          <w:szCs w:val="32"/>
          <w14:ligatures w14:val="none"/>
        </w:rPr>
      </w:pPr>
      <w:r>
        <w:rPr>
          <w:rFonts w:hint="eastAsia" w:cs="仿宋_GB2312"/>
          <w:szCs w:val="32"/>
          <w14:ligatures w14:val="none"/>
        </w:rPr>
        <w:t>4.科技活动基础风险类保险，即科技型企业财产保险、科技型企业综合保险、网络安全保险、人才创业保险、企业雇主责任保险、科技型企业营业中断保险等；</w:t>
      </w:r>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cs="仿宋_GB2312"/>
          <w:szCs w:val="32"/>
          <w14:ligatures w14:val="none"/>
        </w:rPr>
      </w:pPr>
      <w:r>
        <w:rPr>
          <w:rFonts w:hint="eastAsia" w:cs="仿宋_GB2312"/>
          <w:szCs w:val="32"/>
          <w14:ligatures w14:val="none"/>
        </w:rPr>
        <w:t>5.种业科技保险，即主要围绕种业“育、繁、推”各阶段的风险特点提供针对性保障。包括：一是育种环节，聚焦品种研发过程中的风险，涵盖研发费用损失保险、育种材料损失保险、研发投入沉没保险及新品种权审定与侵权损失保险等；二是繁制环节，针对新品种扩繁与制种过程中的风险，包含新品种扩繁制种保险、新品种生产示范保险、委托制种保险、新品种种子质量安全保险等；三是推广环节，围绕新品种市场推广的风险，提供新品种推广保障保险等。</w:t>
      </w:r>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cs="仿宋_GB2312"/>
          <w:szCs w:val="32"/>
          <w14:ligatures w14:val="none"/>
        </w:rPr>
      </w:pPr>
      <w:r>
        <w:rPr>
          <w:rFonts w:hint="eastAsia" w:eastAsia="楷体_GB2312" w:cs="仿宋_GB2312"/>
          <w:szCs w:val="32"/>
          <w14:ligatures w14:val="none"/>
        </w:rPr>
        <w:t>第二十一条</w:t>
      </w:r>
      <w:r>
        <w:rPr>
          <w:rFonts w:eastAsia="楷体_GB2312" w:cs="仿宋_GB2312"/>
          <w:szCs w:val="32"/>
          <w14:ligatures w14:val="none"/>
        </w:rPr>
        <w:t xml:space="preserve"> </w:t>
      </w:r>
      <w:r>
        <w:rPr>
          <w:rFonts w:hint="eastAsia" w:cs="仿宋_GB2312"/>
          <w:szCs w:val="32"/>
          <w14:ligatures w14:val="none"/>
        </w:rPr>
        <w:t>如无特殊说明，《若干措施》及本指南所称</w:t>
      </w:r>
      <w:r>
        <w:rPr>
          <w:rFonts w:hint="eastAsia" w:cs="Times New Roman"/>
          <w:szCs w:val="32"/>
          <w14:ligatures w14:val="none"/>
        </w:rPr>
        <w:t>“</w:t>
      </w:r>
      <w:r>
        <w:rPr>
          <w:rFonts w:hint="eastAsia" w:cs="仿宋_GB2312"/>
          <w:szCs w:val="32"/>
          <w14:ligatures w14:val="none"/>
        </w:rPr>
        <w:t>每年”“年度”均指自然年度，即</w:t>
      </w:r>
      <w:r>
        <w:rPr>
          <w:rFonts w:cs="Times New Roman"/>
          <w:szCs w:val="32"/>
          <w14:ligatures w14:val="none"/>
        </w:rPr>
        <w:t>1</w:t>
      </w:r>
      <w:r>
        <w:rPr>
          <w:rFonts w:hint="eastAsia" w:cs="仿宋_GB2312"/>
          <w:szCs w:val="32"/>
          <w14:ligatures w14:val="none"/>
        </w:rPr>
        <w:t>月</w:t>
      </w:r>
      <w:r>
        <w:rPr>
          <w:rFonts w:cs="Times New Roman"/>
          <w:szCs w:val="32"/>
          <w14:ligatures w14:val="none"/>
        </w:rPr>
        <w:t>1</w:t>
      </w:r>
      <w:r>
        <w:rPr>
          <w:rFonts w:hint="eastAsia" w:cs="仿宋_GB2312"/>
          <w:szCs w:val="32"/>
          <w14:ligatures w14:val="none"/>
        </w:rPr>
        <w:t>日至同一年</w:t>
      </w:r>
      <w:r>
        <w:rPr>
          <w:rFonts w:cs="Times New Roman"/>
          <w:szCs w:val="32"/>
          <w14:ligatures w14:val="none"/>
        </w:rPr>
        <w:t>12</w:t>
      </w:r>
      <w:r>
        <w:rPr>
          <w:rFonts w:hint="eastAsia" w:cs="仿宋_GB2312"/>
          <w:szCs w:val="32"/>
          <w14:ligatures w14:val="none"/>
        </w:rPr>
        <w:t>月</w:t>
      </w:r>
      <w:r>
        <w:rPr>
          <w:rFonts w:cs="Times New Roman"/>
          <w:szCs w:val="32"/>
          <w14:ligatures w14:val="none"/>
        </w:rPr>
        <w:t>31</w:t>
      </w:r>
      <w:r>
        <w:rPr>
          <w:rFonts w:hint="eastAsia" w:cs="仿宋_GB2312"/>
          <w:szCs w:val="32"/>
          <w14:ligatures w14:val="none"/>
        </w:rPr>
        <w:t>日。</w:t>
      </w:r>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cs="仿宋_GB2312"/>
          <w:szCs w:val="32"/>
          <w14:ligatures w14:val="none"/>
        </w:rPr>
      </w:pPr>
      <w:r>
        <w:rPr>
          <w:rFonts w:hint="eastAsia" w:eastAsia="楷体_GB2312" w:cs="仿宋_GB2312"/>
          <w:szCs w:val="32"/>
          <w14:ligatures w14:val="none"/>
        </w:rPr>
        <w:t>第二十二条</w:t>
      </w:r>
      <w:r>
        <w:rPr>
          <w:rFonts w:eastAsia="楷体_GB2312" w:cs="仿宋_GB2312"/>
          <w:szCs w:val="32"/>
          <w14:ligatures w14:val="none"/>
        </w:rPr>
        <w:t xml:space="preserve"> </w:t>
      </w:r>
      <w:r>
        <w:rPr>
          <w:rFonts w:hint="eastAsia" w:cs="仿宋_GB2312"/>
          <w:szCs w:val="32"/>
          <w14:ligatures w14:val="none"/>
        </w:rPr>
        <w:t>《若干措施》中如有与管理局支持的其他同类或相似奖补政策，按照“就高不重复”的原则执行，特别说明的除外。</w:t>
      </w:r>
      <w:bookmarkStart w:id="11" w:name="_Hlk151471668"/>
      <w:r>
        <w:rPr>
          <w:rFonts w:hint="eastAsia" w:cs="仿宋_GB2312"/>
          <w:szCs w:val="32"/>
          <w14:ligatures w14:val="none"/>
        </w:rPr>
        <w:t>申报主体同一事项不可重复享受奖励。</w:t>
      </w:r>
      <w:bookmarkEnd w:id="11"/>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eastAsia="楷体_GB2312" w:cs="仿宋_GB2312"/>
          <w:szCs w:val="32"/>
          <w14:ligatures w14:val="none"/>
        </w:rPr>
      </w:pPr>
      <w:r>
        <w:rPr>
          <w:rFonts w:hint="eastAsia" w:ascii="楷体_GB2312" w:hAnsi="仿宋_GB2312" w:eastAsia="楷体_GB2312" w:cs="仿宋_GB2312"/>
          <w:szCs w:val="32"/>
          <w14:ligatures w14:val="none"/>
        </w:rPr>
        <w:t>第</w:t>
      </w:r>
      <w:r>
        <w:rPr>
          <w:rFonts w:hint="eastAsia" w:eastAsia="楷体_GB2312" w:cs="仿宋_GB2312"/>
          <w:szCs w:val="32"/>
          <w14:ligatures w14:val="none"/>
        </w:rPr>
        <w:t xml:space="preserve">二十三条 </w:t>
      </w:r>
      <w:r>
        <w:rPr>
          <w:rFonts w:hint="eastAsia" w:cs="仿宋_GB2312"/>
          <w:szCs w:val="32"/>
          <w14:ligatures w14:val="none"/>
        </w:rPr>
        <w:t>《若干措施》</w:t>
      </w:r>
      <w:r>
        <w:rPr>
          <w:rFonts w:hint="eastAsia" w:ascii="仿宋_GB2312" w:hAnsi="仿宋_GB2312" w:cs="仿宋_GB2312"/>
          <w:szCs w:val="32"/>
          <w14:ligatures w14:val="none"/>
        </w:rPr>
        <w:t>有效期届满前管理局已接收申请但尚未通过审核或兑现的，有效期届满后，相关奖补申请经审核确认后应当支付奖补资金的，继续执行。</w:t>
      </w:r>
      <w:r>
        <w:rPr>
          <w:rFonts w:hint="eastAsia" w:cs="Times New Roman"/>
          <w:szCs w:val="32"/>
          <w14:ligatures w14:val="none"/>
        </w:rPr>
        <w:t>2028</w:t>
      </w:r>
      <w:r>
        <w:rPr>
          <w:rFonts w:hint="eastAsia" w:ascii="仿宋_GB2312" w:hAnsi="仿宋_GB2312" w:cs="仿宋_GB2312"/>
          <w:szCs w:val="32"/>
          <w14:ligatures w14:val="none"/>
        </w:rPr>
        <w:t>年已提交申请材料用于申请</w:t>
      </w:r>
      <w:r>
        <w:rPr>
          <w:rFonts w:hint="eastAsia" w:cs="仿宋_GB2312"/>
          <w:szCs w:val="32"/>
          <w14:ligatures w14:val="none"/>
        </w:rPr>
        <w:t>《若干措施》</w:t>
      </w:r>
      <w:r>
        <w:rPr>
          <w:rFonts w:hint="eastAsia" w:ascii="仿宋_GB2312" w:hAnsi="仿宋_GB2312" w:cs="仿宋_GB2312"/>
          <w:szCs w:val="32"/>
          <w14:ligatures w14:val="none"/>
        </w:rPr>
        <w:t>中</w:t>
      </w:r>
      <w:r>
        <w:rPr>
          <w:rFonts w:ascii="仿宋_GB2312" w:hAnsi="仿宋_GB2312" w:cs="仿宋_GB2312"/>
          <w:szCs w:val="32"/>
          <w14:ligatures w14:val="none"/>
        </w:rPr>
        <w:t>“</w:t>
      </w:r>
      <w:r>
        <w:rPr>
          <w:rFonts w:hint="eastAsia" w:ascii="仿宋_GB2312" w:hAnsi="仿宋_GB2312" w:cs="仿宋_GB2312"/>
          <w:szCs w:val="32"/>
          <w14:ligatures w14:val="none"/>
        </w:rPr>
        <w:t>国家级专精特新</w:t>
      </w:r>
      <w:r>
        <w:rPr>
          <w:rFonts w:ascii="仿宋_GB2312" w:hAnsi="仿宋_GB2312" w:cs="仿宋_GB2312"/>
          <w:szCs w:val="32"/>
          <w14:ligatures w14:val="none"/>
        </w:rPr>
        <w:t>‘</w:t>
      </w:r>
      <w:r>
        <w:rPr>
          <w:rFonts w:hint="eastAsia" w:ascii="仿宋_GB2312" w:hAnsi="仿宋_GB2312" w:cs="仿宋_GB2312"/>
          <w:szCs w:val="32"/>
          <w14:ligatures w14:val="none"/>
        </w:rPr>
        <w:t>小巨人</w:t>
      </w:r>
      <w:r>
        <w:rPr>
          <w:rFonts w:ascii="仿宋_GB2312" w:hAnsi="仿宋_GB2312" w:cs="仿宋_GB2312"/>
          <w:szCs w:val="32"/>
          <w14:ligatures w14:val="none"/>
        </w:rPr>
        <w:t>’</w:t>
      </w:r>
      <w:r>
        <w:rPr>
          <w:rFonts w:hint="eastAsia" w:ascii="仿宋_GB2312" w:hAnsi="仿宋_GB2312" w:cs="仿宋_GB2312"/>
          <w:szCs w:val="32"/>
          <w14:ligatures w14:val="none"/>
        </w:rPr>
        <w:t>企业认定奖励</w:t>
      </w:r>
      <w:r>
        <w:rPr>
          <w:rFonts w:ascii="仿宋_GB2312" w:hAnsi="仿宋_GB2312" w:cs="仿宋_GB2312"/>
          <w:szCs w:val="32"/>
          <w14:ligatures w14:val="none"/>
        </w:rPr>
        <w:t>”</w:t>
      </w:r>
      <w:r>
        <w:rPr>
          <w:rFonts w:hint="eastAsia" w:ascii="仿宋_GB2312" w:hAnsi="仿宋_GB2312" w:cs="仿宋_GB2312"/>
          <w:szCs w:val="32"/>
          <w14:ligatures w14:val="none"/>
        </w:rPr>
        <w:t>、</w:t>
      </w:r>
      <w:r>
        <w:rPr>
          <w:rFonts w:ascii="仿宋_GB2312" w:hAnsi="仿宋_GB2312" w:cs="仿宋_GB2312"/>
          <w:szCs w:val="32"/>
          <w14:ligatures w14:val="none"/>
        </w:rPr>
        <w:t>“</w:t>
      </w:r>
      <w:r>
        <w:rPr>
          <w:rFonts w:hint="eastAsia" w:ascii="仿宋_GB2312" w:hAnsi="仿宋_GB2312" w:cs="仿宋_GB2312"/>
          <w:szCs w:val="32"/>
          <w14:ligatures w14:val="none"/>
        </w:rPr>
        <w:t>海南省高新技术企业</w:t>
      </w:r>
      <w:r>
        <w:rPr>
          <w:rFonts w:ascii="仿宋_GB2312" w:hAnsi="仿宋_GB2312" w:cs="仿宋_GB2312"/>
          <w:szCs w:val="32"/>
          <w14:ligatures w14:val="none"/>
        </w:rPr>
        <w:t>‘</w:t>
      </w:r>
      <w:r>
        <w:rPr>
          <w:rFonts w:hint="eastAsia" w:ascii="仿宋_GB2312" w:hAnsi="仿宋_GB2312" w:cs="仿宋_GB2312"/>
          <w:szCs w:val="32"/>
          <w14:ligatures w14:val="none"/>
        </w:rPr>
        <w:t>精英行动</w:t>
      </w:r>
      <w:r>
        <w:rPr>
          <w:rFonts w:ascii="仿宋_GB2312" w:hAnsi="仿宋_GB2312" w:cs="仿宋_GB2312"/>
          <w:szCs w:val="32"/>
          <w14:ligatures w14:val="none"/>
        </w:rPr>
        <w:t>’</w:t>
      </w:r>
      <w:r>
        <w:rPr>
          <w:rFonts w:hint="eastAsia" w:ascii="仿宋_GB2312" w:hAnsi="仿宋_GB2312" w:cs="仿宋_GB2312"/>
          <w:szCs w:val="32"/>
          <w14:ligatures w14:val="none"/>
        </w:rPr>
        <w:t>奖励</w:t>
      </w:r>
      <w:r>
        <w:rPr>
          <w:rFonts w:ascii="仿宋_GB2312" w:hAnsi="仿宋_GB2312" w:cs="仿宋_GB2312"/>
          <w:szCs w:val="32"/>
          <w14:ligatures w14:val="none"/>
        </w:rPr>
        <w:t>”</w:t>
      </w:r>
      <w:r>
        <w:rPr>
          <w:rFonts w:hint="eastAsia" w:ascii="仿宋_GB2312" w:hAnsi="仿宋_GB2312" w:cs="仿宋_GB2312"/>
          <w:szCs w:val="32"/>
          <w14:ligatures w14:val="none"/>
        </w:rPr>
        <w:t>、</w:t>
      </w:r>
      <w:r>
        <w:rPr>
          <w:rFonts w:ascii="仿宋_GB2312" w:hAnsi="仿宋_GB2312" w:cs="仿宋_GB2312"/>
          <w:szCs w:val="32"/>
          <w14:ligatures w14:val="none"/>
        </w:rPr>
        <w:t>“</w:t>
      </w:r>
      <w:r>
        <w:rPr>
          <w:rFonts w:hint="eastAsia" w:ascii="仿宋_GB2312" w:hAnsi="仿宋_GB2312" w:cs="仿宋_GB2312"/>
          <w:szCs w:val="32"/>
          <w14:ligatures w14:val="none"/>
        </w:rPr>
        <w:t>国家高新技术企业新认定奖励</w:t>
      </w:r>
      <w:r>
        <w:rPr>
          <w:rFonts w:ascii="仿宋_GB2312" w:hAnsi="仿宋_GB2312" w:cs="仿宋_GB2312"/>
          <w:szCs w:val="32"/>
          <w14:ligatures w14:val="none"/>
        </w:rPr>
        <w:t>”</w:t>
      </w:r>
      <w:r>
        <w:rPr>
          <w:rFonts w:hint="eastAsia" w:ascii="仿宋_GB2312" w:hAnsi="仿宋_GB2312" w:cs="仿宋_GB2312"/>
          <w:szCs w:val="32"/>
          <w14:ligatures w14:val="none"/>
        </w:rPr>
        <w:t>的</w:t>
      </w:r>
      <w:r>
        <w:rPr>
          <w:rFonts w:ascii="仿宋_GB2312" w:hAnsi="仿宋_GB2312" w:cs="仿宋_GB2312"/>
          <w:szCs w:val="32"/>
          <w14:ligatures w14:val="none"/>
        </w:rPr>
        <w:t>“</w:t>
      </w:r>
      <w:r>
        <w:rPr>
          <w:rFonts w:hint="eastAsia" w:ascii="仿宋_GB2312" w:hAnsi="仿宋_GB2312" w:cs="仿宋_GB2312"/>
          <w:szCs w:val="32"/>
          <w14:ligatures w14:val="none"/>
        </w:rPr>
        <w:t>第一年度奖励</w:t>
      </w:r>
      <w:r>
        <w:rPr>
          <w:rFonts w:ascii="仿宋_GB2312" w:hAnsi="仿宋_GB2312" w:cs="仿宋_GB2312"/>
          <w:szCs w:val="32"/>
          <w14:ligatures w14:val="none"/>
        </w:rPr>
        <w:t>”</w:t>
      </w:r>
      <w:r>
        <w:rPr>
          <w:rFonts w:hint="eastAsia" w:ascii="仿宋_GB2312" w:hAnsi="仿宋_GB2312" w:cs="仿宋_GB2312"/>
          <w:szCs w:val="32"/>
          <w14:ligatures w14:val="none"/>
        </w:rPr>
        <w:t>的，应当在</w:t>
      </w:r>
      <w:r>
        <w:rPr>
          <w:rFonts w:hint="eastAsia" w:cs="Times New Roman"/>
          <w:szCs w:val="32"/>
          <w14:ligatures w14:val="none"/>
        </w:rPr>
        <w:t>2029年5</w:t>
      </w:r>
      <w:r>
        <w:rPr>
          <w:rFonts w:hint="eastAsia" w:ascii="仿宋_GB2312" w:hAnsi="仿宋_GB2312" w:cs="仿宋_GB2312"/>
          <w:szCs w:val="32"/>
          <w14:ligatures w14:val="none"/>
        </w:rPr>
        <w:t>月底前提交</w:t>
      </w:r>
      <w:r>
        <w:rPr>
          <w:rFonts w:ascii="仿宋_GB2312" w:hAnsi="仿宋_GB2312" w:cs="仿宋_GB2312"/>
          <w:szCs w:val="32"/>
          <w14:ligatures w14:val="none"/>
        </w:rPr>
        <w:t>“</w:t>
      </w:r>
      <w:r>
        <w:rPr>
          <w:rFonts w:hint="eastAsia" w:ascii="仿宋_GB2312" w:hAnsi="仿宋_GB2312" w:cs="仿宋_GB2312"/>
          <w:szCs w:val="32"/>
          <w14:ligatures w14:val="none"/>
        </w:rPr>
        <w:t>第二年度奖励</w:t>
      </w:r>
      <w:r>
        <w:rPr>
          <w:rFonts w:ascii="仿宋_GB2312" w:hAnsi="仿宋_GB2312" w:cs="仿宋_GB2312"/>
          <w:szCs w:val="32"/>
          <w14:ligatures w14:val="none"/>
        </w:rPr>
        <w:t>”</w:t>
      </w:r>
      <w:r>
        <w:rPr>
          <w:rFonts w:hint="eastAsia" w:ascii="仿宋_GB2312" w:hAnsi="仿宋_GB2312" w:cs="仿宋_GB2312"/>
          <w:szCs w:val="32"/>
          <w14:ligatures w14:val="none"/>
        </w:rPr>
        <w:t>，逾期不再受理。</w:t>
      </w:r>
    </w:p>
    <w:p>
      <w:pPr>
        <w:keepNext w:val="0"/>
        <w:keepLines w:val="0"/>
        <w:pageBreakBefore w:val="0"/>
        <w:widowControl w:val="0"/>
        <w:kinsoku/>
        <w:wordWrap/>
        <w:overflowPunct w:val="0"/>
        <w:topLinePunct w:val="0"/>
        <w:autoSpaceDE/>
        <w:autoSpaceDN/>
        <w:bidi w:val="0"/>
        <w:adjustRightInd/>
        <w:snapToGrid/>
        <w:spacing w:after="0" w:line="578" w:lineRule="exact"/>
        <w:ind w:firstLine="707" w:firstLineChars="221"/>
        <w:jc w:val="both"/>
        <w:textAlignment w:val="auto"/>
        <w:rPr>
          <w:rFonts w:cs="仿宋_GB2312"/>
          <w:szCs w:val="32"/>
          <w14:ligatures w14:val="none"/>
        </w:rPr>
      </w:pPr>
      <w:r>
        <w:rPr>
          <w:rFonts w:hint="eastAsia" w:ascii="楷体_GB2312" w:hAnsi="仿宋_GB2312" w:eastAsia="楷体_GB2312" w:cs="仿宋_GB2312"/>
          <w:szCs w:val="32"/>
          <w14:ligatures w14:val="none"/>
        </w:rPr>
        <w:t>第</w:t>
      </w:r>
      <w:r>
        <w:rPr>
          <w:rFonts w:hint="eastAsia" w:eastAsia="楷体_GB2312" w:cs="仿宋_GB2312"/>
          <w:szCs w:val="32"/>
          <w14:ligatures w14:val="none"/>
        </w:rPr>
        <w:t xml:space="preserve">二十四条 </w:t>
      </w:r>
      <w:r>
        <w:rPr>
          <w:rFonts w:hint="eastAsia" w:cs="仿宋_GB2312"/>
          <w:szCs w:val="32"/>
          <w14:ligatures w14:val="none"/>
        </w:rPr>
        <w:t>本指南由管理局负责解释，自《若干措施》施行之日起生效。本指南内容如有更新调整，则以管理局届时更新调整并发布后的版本为准。</w:t>
      </w:r>
    </w:p>
    <w:p>
      <w:pPr>
        <w:keepNext w:val="0"/>
        <w:keepLines w:val="0"/>
        <w:pageBreakBefore w:val="0"/>
        <w:widowControl w:val="0"/>
        <w:kinsoku/>
        <w:wordWrap/>
        <w:overflowPunct w:val="0"/>
        <w:topLinePunct w:val="0"/>
        <w:autoSpaceDE/>
        <w:autoSpaceDN/>
        <w:bidi w:val="0"/>
        <w:adjustRightInd/>
        <w:snapToGrid/>
        <w:spacing w:after="0" w:line="578" w:lineRule="exact"/>
        <w:ind w:left="0" w:leftChars="0" w:firstLine="0" w:firstLineChars="0"/>
        <w:jc w:val="both"/>
        <w:textAlignment w:val="auto"/>
        <w:rPr>
          <w:rFonts w:cs="仿宋_GB2312"/>
          <w:szCs w:val="32"/>
          <w14:ligatures w14:val="none"/>
        </w:rPr>
      </w:pPr>
    </w:p>
    <w:p>
      <w:pPr>
        <w:keepNext w:val="0"/>
        <w:keepLines w:val="0"/>
        <w:pageBreakBefore w:val="0"/>
        <w:widowControl w:val="0"/>
        <w:kinsoku/>
        <w:wordWrap/>
        <w:overflowPunct w:val="0"/>
        <w:topLinePunct w:val="0"/>
        <w:autoSpaceDE/>
        <w:autoSpaceDN/>
        <w:bidi w:val="0"/>
        <w:adjustRightInd/>
        <w:snapToGrid/>
        <w:spacing w:after="0" w:line="578" w:lineRule="exact"/>
        <w:ind w:firstLine="640"/>
        <w:jc w:val="both"/>
        <w:textAlignment w:val="auto"/>
        <w:rPr>
          <w:rFonts w:cs="仿宋_GB2312"/>
          <w:szCs w:val="32"/>
          <w14:ligatures w14:val="none"/>
        </w:rPr>
      </w:pPr>
      <w:r>
        <w:rPr>
          <w:rFonts w:hint="eastAsia" w:cs="仿宋_GB2312"/>
          <w:szCs w:val="32"/>
          <w14:ligatures w14:val="none"/>
        </w:rPr>
        <w:t>附件：</w:t>
      </w:r>
      <w:r>
        <w:rPr>
          <w:rFonts w:cs="仿宋_GB2312"/>
          <w:szCs w:val="32"/>
          <w14:ligatures w14:val="none"/>
        </w:rPr>
        <w:t>1.</w:t>
      </w:r>
      <w:r>
        <w:rPr>
          <w:rFonts w:hint="eastAsia" w:cs="仿宋_GB2312"/>
          <w:szCs w:val="32"/>
          <w14:ligatures w14:val="none"/>
        </w:rPr>
        <w:t>专项资金申请表</w:t>
      </w:r>
    </w:p>
    <w:p>
      <w:pPr>
        <w:keepNext w:val="0"/>
        <w:keepLines w:val="0"/>
        <w:pageBreakBefore w:val="0"/>
        <w:widowControl w:val="0"/>
        <w:kinsoku/>
        <w:wordWrap/>
        <w:overflowPunct w:val="0"/>
        <w:topLinePunct w:val="0"/>
        <w:autoSpaceDE/>
        <w:autoSpaceDN/>
        <w:bidi w:val="0"/>
        <w:adjustRightInd/>
        <w:snapToGrid/>
        <w:spacing w:after="0" w:line="578" w:lineRule="exact"/>
        <w:ind w:left="42" w:firstLine="1558" w:firstLineChars="487"/>
        <w:jc w:val="both"/>
        <w:textAlignment w:val="auto"/>
        <w:rPr>
          <w:rFonts w:cs="仿宋_GB2312"/>
          <w:szCs w:val="32"/>
          <w14:ligatures w14:val="none"/>
        </w:rPr>
      </w:pPr>
      <w:r>
        <w:rPr>
          <w:rFonts w:cs="仿宋_GB2312"/>
          <w:szCs w:val="32"/>
          <w14:ligatures w14:val="none"/>
        </w:rPr>
        <w:t>2.</w:t>
      </w:r>
      <w:r>
        <w:rPr>
          <w:rFonts w:hint="eastAsia" w:cs="仿宋_GB2312"/>
          <w:szCs w:val="32"/>
          <w14:ligatures w14:val="none"/>
        </w:rPr>
        <w:t>专项资金申报承诺书</w:t>
      </w:r>
    </w:p>
    <w:p>
      <w:pPr>
        <w:keepNext w:val="0"/>
        <w:keepLines w:val="0"/>
        <w:pageBreakBefore w:val="0"/>
        <w:widowControl w:val="0"/>
        <w:kinsoku/>
        <w:wordWrap/>
        <w:overflowPunct w:val="0"/>
        <w:topLinePunct w:val="0"/>
        <w:autoSpaceDE/>
        <w:autoSpaceDN/>
        <w:bidi w:val="0"/>
        <w:adjustRightInd/>
        <w:snapToGrid/>
        <w:spacing w:after="0" w:line="578" w:lineRule="exact"/>
        <w:ind w:left="42" w:firstLine="1558" w:firstLineChars="487"/>
        <w:jc w:val="both"/>
        <w:textAlignment w:val="auto"/>
        <w:rPr>
          <w:rFonts w:cs="仿宋_GB2312"/>
          <w:szCs w:val="32"/>
          <w14:ligatures w14:val="none"/>
        </w:rPr>
      </w:pPr>
      <w:r>
        <w:rPr>
          <w:rFonts w:cs="仿宋_GB2312"/>
          <w:szCs w:val="32"/>
          <w14:ligatures w14:val="none"/>
        </w:rPr>
        <w:t>3.</w:t>
      </w:r>
      <w:r>
        <w:rPr>
          <w:rFonts w:hint="eastAsia" w:cs="仿宋_GB2312"/>
          <w:szCs w:val="32"/>
          <w14:ligatures w14:val="none"/>
        </w:rPr>
        <w:t>企业在科技城内实质性运营的证明材料要求</w:t>
      </w:r>
    </w:p>
    <w:p>
      <w:pPr>
        <w:keepNext w:val="0"/>
        <w:keepLines w:val="0"/>
        <w:pageBreakBefore w:val="0"/>
        <w:widowControl w:val="0"/>
        <w:kinsoku/>
        <w:wordWrap/>
        <w:overflowPunct w:val="0"/>
        <w:topLinePunct w:val="0"/>
        <w:autoSpaceDE/>
        <w:autoSpaceDN/>
        <w:bidi w:val="0"/>
        <w:adjustRightInd/>
        <w:snapToGrid/>
        <w:spacing w:after="0" w:line="578" w:lineRule="exact"/>
        <w:ind w:firstLine="0" w:firstLineChars="0"/>
        <w:jc w:val="both"/>
        <w:textAlignment w:val="auto"/>
        <w:rPr>
          <w:rFonts w:hint="default" w:ascii="Times New Roman" w:hAnsi="Times New Roman" w:eastAsia="黑体" w:cs="Times New Roman"/>
          <w14:ligatures w14:val="none"/>
        </w:rPr>
      </w:pPr>
      <w:r>
        <w:rPr>
          <w:rFonts w:cs="仿宋_GB2312"/>
          <w:szCs w:val="22"/>
          <w14:ligatures w14:val="none"/>
        </w:rPr>
        <w:br w:type="page"/>
      </w:r>
      <w:r>
        <w:rPr>
          <w:rFonts w:hint="default" w:ascii="Times New Roman" w:hAnsi="Times New Roman" w:eastAsia="黑体" w:cs="Times New Roman"/>
          <w14:ligatures w14:val="none"/>
        </w:rPr>
        <w:t>附件</w:t>
      </w:r>
      <w:r>
        <w:rPr>
          <w:rFonts w:hint="default" w:ascii="Times New Roman" w:hAnsi="Times New Roman" w:eastAsia="黑体" w:cs="Times New Roman"/>
          <w:szCs w:val="22"/>
          <w14:ligatures w14:val="none"/>
        </w:rPr>
        <w:t>1</w:t>
      </w:r>
    </w:p>
    <w:p>
      <w:pPr>
        <w:keepNext w:val="0"/>
        <w:keepLines w:val="0"/>
        <w:pageBreakBefore w:val="0"/>
        <w:widowControl w:val="0"/>
        <w:kinsoku/>
        <w:wordWrap/>
        <w:overflowPunct/>
        <w:topLinePunct w:val="0"/>
        <w:autoSpaceDE/>
        <w:autoSpaceDN/>
        <w:bidi w:val="0"/>
        <w:adjustRightInd/>
        <w:snapToGrid/>
        <w:spacing w:after="0" w:line="550" w:lineRule="exact"/>
        <w:ind w:firstLine="0" w:firstLineChars="0"/>
        <w:jc w:val="center"/>
        <w:textAlignment w:val="auto"/>
        <w:rPr>
          <w:rFonts w:eastAsia="方正小标宋_GBK" w:cs="Times New Roman"/>
          <w:sz w:val="44"/>
          <w14:ligatures w14:val="none"/>
        </w:rPr>
      </w:pPr>
    </w:p>
    <w:p>
      <w:pPr>
        <w:keepNext w:val="0"/>
        <w:keepLines w:val="0"/>
        <w:pageBreakBefore w:val="0"/>
        <w:widowControl w:val="0"/>
        <w:kinsoku/>
        <w:wordWrap/>
        <w:overflowPunct/>
        <w:topLinePunct w:val="0"/>
        <w:autoSpaceDE/>
        <w:autoSpaceDN/>
        <w:bidi w:val="0"/>
        <w:adjustRightInd/>
        <w:snapToGrid/>
        <w:spacing w:after="0" w:line="578" w:lineRule="exact"/>
        <w:ind w:firstLine="0" w:firstLineChars="0"/>
        <w:jc w:val="center"/>
        <w:textAlignment w:val="auto"/>
        <w:rPr>
          <w:rFonts w:hint="eastAsia" w:eastAsia="方正小标宋_GBK" w:cs="Times New Roman"/>
          <w:sz w:val="44"/>
          <w14:ligatures w14:val="none"/>
        </w:rPr>
      </w:pPr>
      <w:r>
        <w:rPr>
          <w:rFonts w:hint="eastAsia" w:eastAsia="方正小标宋_GBK" w:cs="Times New Roman"/>
          <w:sz w:val="44"/>
          <w14:ligatures w14:val="none"/>
        </w:rPr>
        <w:t>专项资金申请表</w:t>
      </w:r>
    </w:p>
    <w:p>
      <w:pPr>
        <w:keepNext w:val="0"/>
        <w:keepLines w:val="0"/>
        <w:pageBreakBefore w:val="0"/>
        <w:widowControl w:val="0"/>
        <w:kinsoku/>
        <w:wordWrap/>
        <w:overflowPunct/>
        <w:topLinePunct w:val="0"/>
        <w:autoSpaceDE/>
        <w:autoSpaceDN/>
        <w:bidi w:val="0"/>
        <w:adjustRightInd/>
        <w:snapToGrid/>
        <w:spacing w:after="0" w:line="550" w:lineRule="exact"/>
        <w:ind w:firstLine="0" w:firstLineChars="0"/>
        <w:jc w:val="center"/>
        <w:textAlignment w:val="auto"/>
        <w:rPr>
          <w:rFonts w:hint="eastAsia" w:eastAsia="方正小标宋_GBK" w:cs="Times New Roman"/>
          <w:sz w:val="44"/>
          <w14:ligatures w14:val="none"/>
        </w:rPr>
      </w:pPr>
    </w:p>
    <w:tbl>
      <w:tblPr>
        <w:tblStyle w:val="18"/>
        <w:tblW w:w="8968" w:type="dxa"/>
        <w:tblInd w:w="113" w:type="dxa"/>
        <w:tblLayout w:type="fixed"/>
        <w:tblCellMar>
          <w:top w:w="0" w:type="dxa"/>
          <w:left w:w="108" w:type="dxa"/>
          <w:bottom w:w="0" w:type="dxa"/>
          <w:right w:w="108" w:type="dxa"/>
        </w:tblCellMar>
      </w:tblPr>
      <w:tblGrid>
        <w:gridCol w:w="1305"/>
        <w:gridCol w:w="1922"/>
        <w:gridCol w:w="1843"/>
        <w:gridCol w:w="1839"/>
        <w:gridCol w:w="2059"/>
      </w:tblGrid>
      <w:tr>
        <w:tblPrEx>
          <w:tblCellMar>
            <w:top w:w="0" w:type="dxa"/>
            <w:left w:w="108" w:type="dxa"/>
            <w:bottom w:w="0" w:type="dxa"/>
            <w:right w:w="108" w:type="dxa"/>
          </w:tblCellMar>
        </w:tblPrEx>
        <w:trPr>
          <w:trHeight w:val="541" w:hRule="atLeast"/>
        </w:trPr>
        <w:tc>
          <w:tcPr>
            <w:tcW w:w="3227" w:type="dxa"/>
            <w:gridSpan w:val="2"/>
            <w:tcBorders>
              <w:top w:val="single" w:color="auto" w:sz="4" w:space="0"/>
              <w:left w:val="single" w:color="auto" w:sz="4" w:space="0"/>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申报主体名称</w:t>
            </w:r>
          </w:p>
        </w:tc>
        <w:tc>
          <w:tcPr>
            <w:tcW w:w="5741" w:type="dxa"/>
            <w:gridSpan w:val="3"/>
            <w:tcBorders>
              <w:top w:val="single" w:color="auto" w:sz="4" w:space="0"/>
              <w:left w:val="nil"/>
              <w:bottom w:val="single" w:color="auto" w:sz="4" w:space="0"/>
              <w:right w:val="single" w:color="auto" w:sz="4" w:space="0"/>
            </w:tcBorders>
            <w:vAlign w:val="center"/>
          </w:tcPr>
          <w:p>
            <w:pPr>
              <w:spacing w:after="0"/>
              <w:ind w:firstLine="480" w:firstLineChars="0"/>
              <w:rPr>
                <w:rFonts w:cs="Times New Roman"/>
                <w:sz w:val="24"/>
                <w:szCs w:val="24"/>
                <w14:ligatures w14:val="none"/>
              </w:rPr>
            </w:pPr>
          </w:p>
        </w:tc>
      </w:tr>
      <w:tr>
        <w:tblPrEx>
          <w:tblCellMar>
            <w:top w:w="0" w:type="dxa"/>
            <w:left w:w="108" w:type="dxa"/>
            <w:bottom w:w="0" w:type="dxa"/>
            <w:right w:w="108" w:type="dxa"/>
          </w:tblCellMar>
        </w:tblPrEx>
        <w:trPr>
          <w:trHeight w:val="541" w:hRule="atLeast"/>
        </w:trPr>
        <w:tc>
          <w:tcPr>
            <w:tcW w:w="3227" w:type="dxa"/>
            <w:gridSpan w:val="2"/>
            <w:tcBorders>
              <w:top w:val="nil"/>
              <w:left w:val="single" w:color="auto" w:sz="4" w:space="0"/>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申报主体地址</w:t>
            </w:r>
          </w:p>
        </w:tc>
        <w:tc>
          <w:tcPr>
            <w:tcW w:w="5741" w:type="dxa"/>
            <w:gridSpan w:val="3"/>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r>
      <w:tr>
        <w:tblPrEx>
          <w:tblCellMar>
            <w:top w:w="0" w:type="dxa"/>
            <w:left w:w="108" w:type="dxa"/>
            <w:bottom w:w="0" w:type="dxa"/>
            <w:right w:w="108" w:type="dxa"/>
          </w:tblCellMar>
        </w:tblPrEx>
        <w:trPr>
          <w:trHeight w:val="541" w:hRule="atLeast"/>
        </w:trPr>
        <w:tc>
          <w:tcPr>
            <w:tcW w:w="3227" w:type="dxa"/>
            <w:gridSpan w:val="2"/>
            <w:tcBorders>
              <w:top w:val="nil"/>
              <w:left w:val="single" w:color="auto" w:sz="4" w:space="0"/>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统一社会信用代码</w:t>
            </w:r>
          </w:p>
        </w:tc>
        <w:tc>
          <w:tcPr>
            <w:tcW w:w="5741" w:type="dxa"/>
            <w:gridSpan w:val="3"/>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r>
      <w:tr>
        <w:tblPrEx>
          <w:tblCellMar>
            <w:top w:w="0" w:type="dxa"/>
            <w:left w:w="108" w:type="dxa"/>
            <w:bottom w:w="0" w:type="dxa"/>
            <w:right w:w="108" w:type="dxa"/>
          </w:tblCellMar>
        </w:tblPrEx>
        <w:trPr>
          <w:trHeight w:val="541" w:hRule="atLeast"/>
        </w:trPr>
        <w:tc>
          <w:tcPr>
            <w:tcW w:w="3227" w:type="dxa"/>
            <w:gridSpan w:val="2"/>
            <w:tcBorders>
              <w:top w:val="nil"/>
              <w:left w:val="single" w:color="auto" w:sz="4" w:space="0"/>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法定代表人</w:t>
            </w:r>
          </w:p>
        </w:tc>
        <w:tc>
          <w:tcPr>
            <w:tcW w:w="1843" w:type="dxa"/>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c>
          <w:tcPr>
            <w:tcW w:w="1839" w:type="dxa"/>
            <w:tcBorders>
              <w:top w:val="single" w:color="auto" w:sz="4" w:space="0"/>
              <w:left w:val="nil"/>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证件号</w:t>
            </w:r>
          </w:p>
        </w:tc>
        <w:tc>
          <w:tcPr>
            <w:tcW w:w="2059" w:type="dxa"/>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r>
      <w:tr>
        <w:tblPrEx>
          <w:tblCellMar>
            <w:top w:w="0" w:type="dxa"/>
            <w:left w:w="108" w:type="dxa"/>
            <w:bottom w:w="0" w:type="dxa"/>
            <w:right w:w="108" w:type="dxa"/>
          </w:tblCellMar>
        </w:tblPrEx>
        <w:trPr>
          <w:trHeight w:val="541" w:hRule="atLeast"/>
        </w:trPr>
        <w:tc>
          <w:tcPr>
            <w:tcW w:w="3227" w:type="dxa"/>
            <w:gridSpan w:val="2"/>
            <w:tcBorders>
              <w:top w:val="nil"/>
              <w:left w:val="single" w:color="auto" w:sz="4" w:space="0"/>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申报联系人</w:t>
            </w:r>
          </w:p>
        </w:tc>
        <w:tc>
          <w:tcPr>
            <w:tcW w:w="1843" w:type="dxa"/>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c>
          <w:tcPr>
            <w:tcW w:w="1839" w:type="dxa"/>
            <w:tcBorders>
              <w:top w:val="single" w:color="auto" w:sz="4" w:space="0"/>
              <w:left w:val="nil"/>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联系电话</w:t>
            </w:r>
          </w:p>
        </w:tc>
        <w:tc>
          <w:tcPr>
            <w:tcW w:w="2059" w:type="dxa"/>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r>
      <w:tr>
        <w:tblPrEx>
          <w:tblCellMar>
            <w:top w:w="0" w:type="dxa"/>
            <w:left w:w="108" w:type="dxa"/>
            <w:bottom w:w="0" w:type="dxa"/>
            <w:right w:w="108" w:type="dxa"/>
          </w:tblCellMar>
        </w:tblPrEx>
        <w:trPr>
          <w:trHeight w:val="541" w:hRule="atLeast"/>
        </w:trPr>
        <w:tc>
          <w:tcPr>
            <w:tcW w:w="3227" w:type="dxa"/>
            <w:gridSpan w:val="2"/>
            <w:tcBorders>
              <w:top w:val="nil"/>
              <w:left w:val="single" w:color="auto" w:sz="4" w:space="0"/>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开户银行</w:t>
            </w:r>
          </w:p>
        </w:tc>
        <w:tc>
          <w:tcPr>
            <w:tcW w:w="1843" w:type="dxa"/>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c>
          <w:tcPr>
            <w:tcW w:w="1839" w:type="dxa"/>
            <w:tcBorders>
              <w:top w:val="single" w:color="auto" w:sz="4" w:space="0"/>
              <w:left w:val="nil"/>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开户银行户名</w:t>
            </w:r>
          </w:p>
        </w:tc>
        <w:tc>
          <w:tcPr>
            <w:tcW w:w="2059" w:type="dxa"/>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r>
      <w:tr>
        <w:tblPrEx>
          <w:tblCellMar>
            <w:top w:w="0" w:type="dxa"/>
            <w:left w:w="108" w:type="dxa"/>
            <w:bottom w:w="0" w:type="dxa"/>
            <w:right w:w="108" w:type="dxa"/>
          </w:tblCellMar>
        </w:tblPrEx>
        <w:trPr>
          <w:trHeight w:val="541" w:hRule="atLeast"/>
        </w:trPr>
        <w:tc>
          <w:tcPr>
            <w:tcW w:w="3227" w:type="dxa"/>
            <w:gridSpan w:val="2"/>
            <w:tcBorders>
              <w:top w:val="nil"/>
              <w:left w:val="single" w:color="auto" w:sz="4" w:space="0"/>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开户银行账号</w:t>
            </w:r>
          </w:p>
        </w:tc>
        <w:tc>
          <w:tcPr>
            <w:tcW w:w="5741" w:type="dxa"/>
            <w:gridSpan w:val="3"/>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r>
      <w:tr>
        <w:tblPrEx>
          <w:tblCellMar>
            <w:top w:w="0" w:type="dxa"/>
            <w:left w:w="108" w:type="dxa"/>
            <w:bottom w:w="0" w:type="dxa"/>
            <w:right w:w="108" w:type="dxa"/>
          </w:tblCellMar>
        </w:tblPrEx>
        <w:trPr>
          <w:trHeight w:val="633" w:hRule="atLeast"/>
        </w:trPr>
        <w:tc>
          <w:tcPr>
            <w:tcW w:w="1305" w:type="dxa"/>
            <w:vMerge w:val="restart"/>
            <w:tcBorders>
              <w:top w:val="nil"/>
              <w:left w:val="single" w:color="auto" w:sz="4" w:space="0"/>
              <w:bottom w:val="single" w:color="auto" w:sz="4" w:space="0"/>
              <w:right w:val="single" w:color="auto" w:sz="4" w:space="0"/>
            </w:tcBorders>
            <w:vAlign w:val="center"/>
          </w:tcPr>
          <w:p>
            <w:pPr>
              <w:spacing w:after="0"/>
              <w:ind w:firstLine="0" w:firstLineChars="0"/>
              <w:rPr>
                <w:rFonts w:cs="Times New Roman"/>
                <w:sz w:val="24"/>
                <w:szCs w:val="24"/>
                <w14:ligatures w14:val="none"/>
              </w:rPr>
            </w:pPr>
            <w:r>
              <w:rPr>
                <w:rFonts w:hint="eastAsia" w:cs="Times New Roman"/>
                <w:sz w:val="24"/>
                <w:szCs w:val="24"/>
                <w14:ligatures w14:val="none"/>
              </w:rPr>
              <w:t>申报条款及事项</w:t>
            </w:r>
          </w:p>
        </w:tc>
        <w:tc>
          <w:tcPr>
            <w:tcW w:w="1922" w:type="dxa"/>
            <w:tcBorders>
              <w:top w:val="nil"/>
              <w:left w:val="single" w:color="auto" w:sz="4" w:space="0"/>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申报支持条款</w:t>
            </w:r>
          </w:p>
        </w:tc>
        <w:tc>
          <w:tcPr>
            <w:tcW w:w="5741" w:type="dxa"/>
            <w:gridSpan w:val="3"/>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r>
      <w:tr>
        <w:tblPrEx>
          <w:tblCellMar>
            <w:top w:w="0" w:type="dxa"/>
            <w:left w:w="108" w:type="dxa"/>
            <w:bottom w:w="0" w:type="dxa"/>
            <w:right w:w="108" w:type="dxa"/>
          </w:tblCellMar>
        </w:tblPrEx>
        <w:trPr>
          <w:trHeight w:val="500" w:hRule="atLeast"/>
        </w:trPr>
        <w:tc>
          <w:tcPr>
            <w:tcW w:w="1305" w:type="dxa"/>
            <w:vMerge w:val="continue"/>
            <w:tcBorders>
              <w:top w:val="nil"/>
              <w:left w:val="single" w:color="auto" w:sz="4" w:space="0"/>
              <w:bottom w:val="single" w:color="auto" w:sz="4" w:space="0"/>
              <w:right w:val="single" w:color="auto" w:sz="4" w:space="0"/>
            </w:tcBorders>
            <w:vAlign w:val="center"/>
          </w:tcPr>
          <w:p>
            <w:pPr>
              <w:spacing w:after="0" w:line="276" w:lineRule="auto"/>
              <w:ind w:firstLine="480" w:firstLineChars="0"/>
              <w:rPr>
                <w:rFonts w:cs="Times New Roman"/>
                <w:sz w:val="24"/>
                <w:szCs w:val="24"/>
                <w14:ligatures w14:val="none"/>
              </w:rPr>
            </w:pPr>
          </w:p>
        </w:tc>
        <w:tc>
          <w:tcPr>
            <w:tcW w:w="1922" w:type="dxa"/>
            <w:tcBorders>
              <w:top w:val="nil"/>
              <w:left w:val="single" w:color="auto" w:sz="4" w:space="0"/>
              <w:bottom w:val="single" w:color="auto" w:sz="4" w:space="0"/>
              <w:right w:val="single" w:color="auto" w:sz="4" w:space="0"/>
            </w:tcBorders>
            <w:vAlign w:val="center"/>
          </w:tcPr>
          <w:p>
            <w:pPr>
              <w:spacing w:after="0"/>
              <w:ind w:firstLine="0" w:firstLineChars="0"/>
              <w:rPr>
                <w:rFonts w:cs="Times New Roman"/>
                <w14:ligatures w14:val="none"/>
              </w:rPr>
            </w:pPr>
            <w:r>
              <w:rPr>
                <w:rFonts w:hint="eastAsia" w:cs="Times New Roman"/>
                <w:sz w:val="24"/>
                <w:szCs w:val="24"/>
                <w14:ligatures w14:val="none"/>
              </w:rPr>
              <w:t>奖补事项</w:t>
            </w:r>
          </w:p>
        </w:tc>
        <w:tc>
          <w:tcPr>
            <w:tcW w:w="5741" w:type="dxa"/>
            <w:gridSpan w:val="3"/>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r>
      <w:tr>
        <w:tblPrEx>
          <w:tblCellMar>
            <w:top w:w="0" w:type="dxa"/>
            <w:left w:w="108" w:type="dxa"/>
            <w:bottom w:w="0" w:type="dxa"/>
            <w:right w:w="108" w:type="dxa"/>
          </w:tblCellMar>
        </w:tblPrEx>
        <w:trPr>
          <w:trHeight w:val="541" w:hRule="atLeast"/>
        </w:trPr>
        <w:tc>
          <w:tcPr>
            <w:tcW w:w="3227" w:type="dxa"/>
            <w:gridSpan w:val="2"/>
            <w:tcBorders>
              <w:top w:val="nil"/>
              <w:left w:val="single" w:color="auto" w:sz="4" w:space="0"/>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申报金额（万元）</w:t>
            </w:r>
          </w:p>
        </w:tc>
        <w:tc>
          <w:tcPr>
            <w:tcW w:w="5741" w:type="dxa"/>
            <w:gridSpan w:val="3"/>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r>
      <w:tr>
        <w:tblPrEx>
          <w:tblCellMar>
            <w:top w:w="0" w:type="dxa"/>
            <w:left w:w="108" w:type="dxa"/>
            <w:bottom w:w="0" w:type="dxa"/>
            <w:right w:w="108" w:type="dxa"/>
          </w:tblCellMar>
        </w:tblPrEx>
        <w:trPr>
          <w:trHeight w:val="969" w:hRule="atLeast"/>
        </w:trPr>
        <w:tc>
          <w:tcPr>
            <w:tcW w:w="3227" w:type="dxa"/>
            <w:gridSpan w:val="2"/>
            <w:tcBorders>
              <w:top w:val="nil"/>
              <w:left w:val="single" w:color="auto" w:sz="4" w:space="0"/>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申报理由</w:t>
            </w:r>
          </w:p>
          <w:p>
            <w:pPr>
              <w:spacing w:after="0"/>
              <w:ind w:firstLine="0" w:firstLineChars="0"/>
              <w:jc w:val="both"/>
              <w:rPr>
                <w:rFonts w:cs="Times New Roman"/>
                <w:sz w:val="24"/>
                <w:szCs w:val="24"/>
                <w14:ligatures w14:val="none"/>
              </w:rPr>
            </w:pPr>
            <w:r>
              <w:rPr>
                <w:rFonts w:hint="eastAsia" w:cs="Times New Roman"/>
                <w:sz w:val="24"/>
                <w:szCs w:val="24"/>
                <w14:ligatures w14:val="none"/>
              </w:rPr>
              <w:t>（按照申报条件逐条填写）</w:t>
            </w:r>
          </w:p>
        </w:tc>
        <w:tc>
          <w:tcPr>
            <w:tcW w:w="5741" w:type="dxa"/>
            <w:gridSpan w:val="3"/>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r>
      <w:tr>
        <w:tblPrEx>
          <w:tblCellMar>
            <w:top w:w="0" w:type="dxa"/>
            <w:left w:w="108" w:type="dxa"/>
            <w:bottom w:w="0" w:type="dxa"/>
            <w:right w:w="108" w:type="dxa"/>
          </w:tblCellMar>
        </w:tblPrEx>
        <w:trPr>
          <w:trHeight w:val="90" w:hRule="atLeast"/>
        </w:trPr>
        <w:tc>
          <w:tcPr>
            <w:tcW w:w="3227" w:type="dxa"/>
            <w:gridSpan w:val="2"/>
            <w:tcBorders>
              <w:top w:val="nil"/>
              <w:left w:val="single" w:color="auto" w:sz="4" w:space="0"/>
              <w:bottom w:val="single" w:color="auto" w:sz="4" w:space="0"/>
              <w:right w:val="single" w:color="auto" w:sz="4" w:space="0"/>
            </w:tcBorders>
            <w:vAlign w:val="center"/>
          </w:tcPr>
          <w:p>
            <w:pPr>
              <w:spacing w:after="0"/>
              <w:ind w:firstLine="0" w:firstLineChars="0"/>
              <w:jc w:val="both"/>
              <w:rPr>
                <w:rFonts w:cs="Times New Roman"/>
                <w:sz w:val="24"/>
                <w:szCs w:val="24"/>
                <w14:ligatures w14:val="none"/>
              </w:rPr>
            </w:pPr>
            <w:r>
              <w:rPr>
                <w:rFonts w:hint="eastAsia" w:cs="Times New Roman"/>
                <w:sz w:val="24"/>
                <w:szCs w:val="24"/>
                <w14:ligatures w14:val="none"/>
              </w:rPr>
              <w:t>材料清单</w:t>
            </w:r>
          </w:p>
          <w:p>
            <w:pPr>
              <w:spacing w:after="0"/>
              <w:ind w:firstLine="0" w:firstLineChars="0"/>
              <w:jc w:val="both"/>
              <w:rPr>
                <w:rFonts w:cs="Times New Roman"/>
                <w:sz w:val="24"/>
                <w:szCs w:val="24"/>
                <w14:ligatures w14:val="none"/>
              </w:rPr>
            </w:pPr>
            <w:r>
              <w:rPr>
                <w:rFonts w:hint="eastAsia" w:cs="Times New Roman"/>
                <w:sz w:val="24"/>
                <w:szCs w:val="24"/>
                <w14:ligatures w14:val="none"/>
              </w:rPr>
              <w:t>（按照申报材料逐条填写）</w:t>
            </w:r>
          </w:p>
        </w:tc>
        <w:tc>
          <w:tcPr>
            <w:tcW w:w="5741" w:type="dxa"/>
            <w:gridSpan w:val="3"/>
            <w:tcBorders>
              <w:top w:val="single" w:color="auto" w:sz="4" w:space="0"/>
              <w:left w:val="nil"/>
              <w:bottom w:val="single" w:color="auto" w:sz="4" w:space="0"/>
              <w:right w:val="single" w:color="auto" w:sz="4" w:space="0"/>
            </w:tcBorders>
            <w:vAlign w:val="center"/>
          </w:tcPr>
          <w:p>
            <w:pPr>
              <w:spacing w:after="0"/>
              <w:ind w:firstLine="480" w:firstLineChars="0"/>
              <w:jc w:val="both"/>
              <w:rPr>
                <w:rFonts w:cs="Times New Roman"/>
                <w:sz w:val="24"/>
                <w:szCs w:val="24"/>
                <w14:ligatures w14:val="none"/>
              </w:rPr>
            </w:pPr>
          </w:p>
        </w:tc>
      </w:tr>
      <w:tr>
        <w:tblPrEx>
          <w:tblCellMar>
            <w:top w:w="0" w:type="dxa"/>
            <w:left w:w="108" w:type="dxa"/>
            <w:bottom w:w="0" w:type="dxa"/>
            <w:right w:w="108" w:type="dxa"/>
          </w:tblCellMar>
        </w:tblPrEx>
        <w:trPr>
          <w:trHeight w:val="1512" w:hRule="atLeast"/>
        </w:trPr>
        <w:tc>
          <w:tcPr>
            <w:tcW w:w="8968" w:type="dxa"/>
            <w:gridSpan w:val="5"/>
            <w:tcBorders>
              <w:top w:val="single" w:color="auto" w:sz="4" w:space="0"/>
              <w:left w:val="single" w:color="auto" w:sz="4" w:space="0"/>
              <w:bottom w:val="single" w:color="auto" w:sz="4" w:space="0"/>
              <w:right w:val="single" w:color="000000" w:sz="4" w:space="0"/>
            </w:tcBorders>
            <w:vAlign w:val="center"/>
          </w:tcPr>
          <w:p>
            <w:pPr>
              <w:spacing w:after="0"/>
              <w:ind w:firstLine="480" w:firstLineChars="0"/>
              <w:rPr>
                <w:rFonts w:cs="Times New Roman"/>
                <w:sz w:val="24"/>
                <w:szCs w:val="24"/>
                <w14:ligatures w14:val="none"/>
              </w:rPr>
            </w:pPr>
            <w:r>
              <w:rPr>
                <w:rFonts w:hint="eastAsia" w:cs="Times New Roman"/>
                <w:sz w:val="24"/>
                <w:szCs w:val="24"/>
                <w14:ligatures w14:val="none"/>
              </w:rPr>
              <w:t>申报单位意见：</w:t>
            </w:r>
            <w:r>
              <w:rPr>
                <w:rFonts w:cs="Times New Roman"/>
                <w:sz w:val="24"/>
                <w:szCs w:val="24"/>
                <w14:ligatures w14:val="none"/>
              </w:rPr>
              <w:t xml:space="preserve"> </w:t>
            </w:r>
          </w:p>
          <w:p>
            <w:pPr>
              <w:spacing w:after="0"/>
              <w:ind w:firstLine="480" w:firstLineChars="0"/>
              <w:rPr>
                <w:rFonts w:cs="Times New Roman"/>
                <w:sz w:val="24"/>
                <w:szCs w:val="24"/>
                <w14:ligatures w14:val="none"/>
              </w:rPr>
            </w:pPr>
            <w:r>
              <w:rPr>
                <w:rFonts w:cs="Times New Roman"/>
                <w:sz w:val="24"/>
                <w:szCs w:val="24"/>
                <w14:ligatures w14:val="none"/>
              </w:rPr>
              <w:t xml:space="preserve">         </w:t>
            </w:r>
          </w:p>
          <w:p>
            <w:pPr>
              <w:spacing w:after="0"/>
              <w:ind w:firstLine="480" w:firstLineChars="0"/>
              <w:rPr>
                <w:rFonts w:cs="Times New Roman"/>
                <w:sz w:val="24"/>
                <w:szCs w:val="24"/>
                <w14:ligatures w14:val="none"/>
              </w:rPr>
            </w:pPr>
            <w:r>
              <w:rPr>
                <w:rFonts w:cs="Times New Roman"/>
                <w:sz w:val="24"/>
                <w:szCs w:val="24"/>
                <w14:ligatures w14:val="none"/>
              </w:rPr>
              <w:t xml:space="preserve">                                </w:t>
            </w:r>
            <w:r>
              <w:rPr>
                <w:rFonts w:hint="eastAsia" w:cs="Times New Roman"/>
                <w:sz w:val="24"/>
                <w:szCs w:val="24"/>
                <w14:ligatures w14:val="none"/>
              </w:rPr>
              <w:t>（法定代表人签字）</w:t>
            </w:r>
            <w:r>
              <w:rPr>
                <w:rFonts w:cs="Times New Roman"/>
                <w:sz w:val="24"/>
                <w:szCs w:val="24"/>
                <w14:ligatures w14:val="none"/>
              </w:rPr>
              <w:t xml:space="preserve">      </w:t>
            </w:r>
            <w:r>
              <w:rPr>
                <w:rFonts w:hint="eastAsia" w:cs="Times New Roman"/>
                <w:sz w:val="24"/>
                <w:szCs w:val="24"/>
                <w14:ligatures w14:val="none"/>
              </w:rPr>
              <w:t>（加盖公章）</w:t>
            </w:r>
          </w:p>
          <w:p>
            <w:pPr>
              <w:spacing w:after="0"/>
              <w:ind w:firstLine="480" w:firstLineChars="0"/>
              <w:jc w:val="right"/>
              <w:rPr>
                <w:rFonts w:cs="Times New Roman"/>
                <w:sz w:val="24"/>
                <w:szCs w:val="24"/>
                <w14:ligatures w14:val="none"/>
              </w:rPr>
            </w:pPr>
            <w:r>
              <w:rPr>
                <w:rFonts w:cs="Times New Roman"/>
                <w:sz w:val="24"/>
                <w:szCs w:val="24"/>
                <w14:ligatures w14:val="none"/>
              </w:rPr>
              <w:t xml:space="preserve">     </w:t>
            </w:r>
            <w:r>
              <w:rPr>
                <w:rFonts w:hint="eastAsia" w:cs="Times New Roman"/>
                <w:sz w:val="24"/>
                <w:szCs w:val="24"/>
                <w14:ligatures w14:val="none"/>
              </w:rPr>
              <w:t>日期：</w:t>
            </w:r>
            <w:r>
              <w:rPr>
                <w:rFonts w:cs="Times New Roman"/>
                <w:sz w:val="24"/>
                <w:szCs w:val="24"/>
                <w14:ligatures w14:val="none"/>
              </w:rPr>
              <w:t xml:space="preserve">     </w:t>
            </w:r>
            <w:r>
              <w:rPr>
                <w:rFonts w:hint="eastAsia" w:cs="Times New Roman"/>
                <w:sz w:val="24"/>
                <w:szCs w:val="24"/>
                <w14:ligatures w14:val="none"/>
              </w:rPr>
              <w:t>年</w:t>
            </w:r>
            <w:r>
              <w:rPr>
                <w:rFonts w:cs="Times New Roman"/>
                <w:sz w:val="24"/>
                <w:szCs w:val="24"/>
                <w14:ligatures w14:val="none"/>
              </w:rPr>
              <w:t xml:space="preserve">      </w:t>
            </w:r>
            <w:r>
              <w:rPr>
                <w:rFonts w:hint="eastAsia" w:cs="Times New Roman"/>
                <w:sz w:val="24"/>
                <w:szCs w:val="24"/>
                <w14:ligatures w14:val="none"/>
              </w:rPr>
              <w:t>月</w:t>
            </w:r>
            <w:r>
              <w:rPr>
                <w:rFonts w:cs="Times New Roman"/>
                <w:sz w:val="24"/>
                <w:szCs w:val="24"/>
                <w14:ligatures w14:val="none"/>
              </w:rPr>
              <w:t xml:space="preserve">      </w:t>
            </w:r>
            <w:r>
              <w:rPr>
                <w:rFonts w:hint="eastAsia" w:cs="Times New Roman"/>
                <w:sz w:val="24"/>
                <w:szCs w:val="24"/>
                <w14:ligatures w14:val="none"/>
              </w:rPr>
              <w:t>日</w:t>
            </w:r>
          </w:p>
        </w:tc>
      </w:tr>
    </w:tbl>
    <w:p>
      <w:pPr>
        <w:keepNext w:val="0"/>
        <w:keepLines w:val="0"/>
        <w:pageBreakBefore w:val="0"/>
        <w:widowControl w:val="0"/>
        <w:kinsoku/>
        <w:wordWrap/>
        <w:overflowPunct/>
        <w:topLinePunct w:val="0"/>
        <w:autoSpaceDE/>
        <w:autoSpaceDN/>
        <w:bidi w:val="0"/>
        <w:adjustRightInd/>
        <w:snapToGrid/>
        <w:spacing w:after="0" w:line="578" w:lineRule="exact"/>
        <w:ind w:firstLine="0" w:firstLineChars="0"/>
        <w:jc w:val="both"/>
        <w:textAlignment w:val="auto"/>
        <w:rPr>
          <w:rFonts w:hint="default" w:ascii="Times New Roman" w:hAnsi="Times New Roman" w:eastAsia="黑体" w:cs="Times New Roman"/>
          <w14:ligatures w14:val="none"/>
        </w:rPr>
      </w:pPr>
      <w:r>
        <w:rPr>
          <w:rFonts w:eastAsia="黑体" w:cs="Times New Roman"/>
          <w:kern w:val="44"/>
          <w:szCs w:val="24"/>
          <w14:ligatures w14:val="none"/>
        </w:rPr>
        <w:br w:type="page"/>
      </w:r>
      <w:r>
        <w:rPr>
          <w:rFonts w:hint="default" w:ascii="Times New Roman" w:hAnsi="Times New Roman" w:eastAsia="黑体" w:cs="Times New Roman"/>
          <w14:ligatures w14:val="none"/>
        </w:rPr>
        <w:t>附件2</w:t>
      </w:r>
    </w:p>
    <w:p>
      <w:pPr>
        <w:keepNext w:val="0"/>
        <w:keepLines w:val="0"/>
        <w:pageBreakBefore w:val="0"/>
        <w:widowControl w:val="0"/>
        <w:kinsoku/>
        <w:wordWrap/>
        <w:overflowPunct/>
        <w:topLinePunct w:val="0"/>
        <w:autoSpaceDE/>
        <w:autoSpaceDN/>
        <w:bidi w:val="0"/>
        <w:adjustRightInd/>
        <w:snapToGrid/>
        <w:spacing w:after="0" w:line="578" w:lineRule="exact"/>
        <w:ind w:firstLine="0" w:firstLineChars="0"/>
        <w:jc w:val="center"/>
        <w:textAlignment w:val="auto"/>
        <w:rPr>
          <w:rFonts w:cs="Times New Roman"/>
          <w:sz w:val="44"/>
          <w:szCs w:val="44"/>
          <w14:ligatures w14:val="none"/>
        </w:rPr>
      </w:pPr>
    </w:p>
    <w:p>
      <w:pPr>
        <w:keepNext w:val="0"/>
        <w:keepLines w:val="0"/>
        <w:pageBreakBefore w:val="0"/>
        <w:widowControl w:val="0"/>
        <w:kinsoku/>
        <w:wordWrap/>
        <w:overflowPunct/>
        <w:topLinePunct w:val="0"/>
        <w:autoSpaceDE/>
        <w:autoSpaceDN/>
        <w:bidi w:val="0"/>
        <w:adjustRightInd/>
        <w:snapToGrid/>
        <w:spacing w:after="0" w:line="578" w:lineRule="exact"/>
        <w:ind w:firstLine="0" w:firstLineChars="0"/>
        <w:jc w:val="center"/>
        <w:textAlignment w:val="auto"/>
        <w:rPr>
          <w:rFonts w:hint="eastAsia" w:eastAsia="方正小标宋_GBK" w:cs="Times New Roman"/>
          <w:sz w:val="44"/>
          <w:szCs w:val="44"/>
          <w14:ligatures w14:val="none"/>
        </w:rPr>
      </w:pPr>
      <w:r>
        <w:rPr>
          <w:rFonts w:hint="eastAsia" w:eastAsia="方正小标宋_GBK" w:cs="Times New Roman"/>
          <w:sz w:val="44"/>
          <w:szCs w:val="44"/>
          <w14:ligatures w14:val="none"/>
        </w:rPr>
        <w:t>专项资金申报承诺书</w:t>
      </w:r>
    </w:p>
    <w:p>
      <w:pPr>
        <w:keepNext w:val="0"/>
        <w:keepLines w:val="0"/>
        <w:pageBreakBefore w:val="0"/>
        <w:widowControl w:val="0"/>
        <w:kinsoku/>
        <w:wordWrap/>
        <w:overflowPunct/>
        <w:topLinePunct w:val="0"/>
        <w:autoSpaceDE/>
        <w:autoSpaceDN/>
        <w:bidi w:val="0"/>
        <w:adjustRightInd/>
        <w:snapToGrid/>
        <w:spacing w:after="0" w:line="578" w:lineRule="exact"/>
        <w:ind w:firstLine="0" w:firstLineChars="0"/>
        <w:jc w:val="center"/>
        <w:textAlignment w:val="auto"/>
        <w:rPr>
          <w:rFonts w:hint="eastAsia" w:eastAsia="方正小标宋_GBK" w:cs="Times New Roman"/>
          <w:sz w:val="44"/>
          <w:szCs w:val="44"/>
          <w14:ligatures w14:val="none"/>
        </w:rPr>
      </w:pPr>
    </w:p>
    <w:tbl>
      <w:tblPr>
        <w:tblStyle w:val="18"/>
        <w:tblW w:w="8359" w:type="dxa"/>
        <w:jc w:val="center"/>
        <w:tblLayout w:type="fixed"/>
        <w:tblCellMar>
          <w:top w:w="0" w:type="dxa"/>
          <w:left w:w="108" w:type="dxa"/>
          <w:bottom w:w="0" w:type="dxa"/>
          <w:right w:w="108" w:type="dxa"/>
        </w:tblCellMar>
      </w:tblPr>
      <w:tblGrid>
        <w:gridCol w:w="1875"/>
        <w:gridCol w:w="1806"/>
        <w:gridCol w:w="2450"/>
        <w:gridCol w:w="2228"/>
      </w:tblGrid>
      <w:tr>
        <w:tblPrEx>
          <w:tblCellMar>
            <w:top w:w="0" w:type="dxa"/>
            <w:left w:w="108" w:type="dxa"/>
            <w:bottom w:w="0" w:type="dxa"/>
            <w:right w:w="108" w:type="dxa"/>
          </w:tblCellMar>
        </w:tblPrEx>
        <w:trPr>
          <w:trHeight w:val="386" w:hRule="atLeast"/>
          <w:jc w:val="center"/>
        </w:trPr>
        <w:tc>
          <w:tcPr>
            <w:tcW w:w="1875" w:type="dxa"/>
            <w:tcBorders>
              <w:top w:val="single" w:color="auto" w:sz="4" w:space="0"/>
              <w:left w:val="single" w:color="auto" w:sz="4" w:space="0"/>
              <w:bottom w:val="single" w:color="auto" w:sz="4" w:space="0"/>
              <w:right w:val="single" w:color="auto" w:sz="4" w:space="0"/>
            </w:tcBorders>
            <w:vAlign w:val="center"/>
          </w:tcPr>
          <w:p>
            <w:pPr>
              <w:spacing w:after="0" w:line="240" w:lineRule="auto"/>
              <w:ind w:firstLine="0" w:firstLineChars="0"/>
              <w:jc w:val="both"/>
              <w:rPr>
                <w:rFonts w:cs="Times New Roman"/>
                <w:sz w:val="24"/>
                <w:szCs w:val="24"/>
                <w14:ligatures w14:val="none"/>
              </w:rPr>
            </w:pPr>
            <w:r>
              <w:rPr>
                <w:rFonts w:hint="eastAsia" w:cs="Times New Roman"/>
                <w:sz w:val="24"/>
                <w:szCs w:val="24"/>
                <w14:ligatures w14:val="none"/>
              </w:rPr>
              <w:t>申报单位</w:t>
            </w:r>
          </w:p>
        </w:tc>
        <w:tc>
          <w:tcPr>
            <w:tcW w:w="1806" w:type="dxa"/>
            <w:tcBorders>
              <w:top w:val="single" w:color="auto" w:sz="4" w:space="0"/>
              <w:left w:val="single" w:color="auto" w:sz="4" w:space="0"/>
              <w:bottom w:val="single" w:color="auto" w:sz="4" w:space="0"/>
              <w:right w:val="single" w:color="auto" w:sz="4" w:space="0"/>
            </w:tcBorders>
            <w:vAlign w:val="center"/>
          </w:tcPr>
          <w:p>
            <w:pPr>
              <w:spacing w:after="0" w:line="240" w:lineRule="auto"/>
              <w:ind w:firstLine="480" w:firstLineChars="0"/>
              <w:jc w:val="both"/>
              <w:rPr>
                <w:rFonts w:cs="Times New Roman"/>
                <w:sz w:val="24"/>
                <w:szCs w:val="24"/>
                <w14:ligatures w14:val="none"/>
              </w:rPr>
            </w:pPr>
          </w:p>
        </w:tc>
        <w:tc>
          <w:tcPr>
            <w:tcW w:w="2450" w:type="dxa"/>
            <w:tcBorders>
              <w:top w:val="single" w:color="auto" w:sz="4" w:space="0"/>
              <w:left w:val="single" w:color="auto" w:sz="4" w:space="0"/>
              <w:bottom w:val="single" w:color="auto" w:sz="4" w:space="0"/>
              <w:right w:val="single" w:color="auto" w:sz="4" w:space="0"/>
            </w:tcBorders>
            <w:vAlign w:val="center"/>
          </w:tcPr>
          <w:p>
            <w:pPr>
              <w:spacing w:after="0" w:line="240" w:lineRule="auto"/>
              <w:ind w:firstLine="0" w:firstLineChars="0"/>
              <w:jc w:val="both"/>
              <w:rPr>
                <w:rFonts w:cs="Times New Roman"/>
                <w:sz w:val="24"/>
                <w:szCs w:val="24"/>
                <w14:ligatures w14:val="none"/>
              </w:rPr>
            </w:pPr>
            <w:r>
              <w:rPr>
                <w:rFonts w:hint="eastAsia" w:cs="Times New Roman"/>
                <w:sz w:val="24"/>
                <w:szCs w:val="24"/>
                <w14:ligatures w14:val="none"/>
              </w:rPr>
              <w:t>统一社会信用代码</w:t>
            </w:r>
          </w:p>
        </w:tc>
        <w:tc>
          <w:tcPr>
            <w:tcW w:w="2228" w:type="dxa"/>
            <w:tcBorders>
              <w:top w:val="single" w:color="auto" w:sz="4" w:space="0"/>
              <w:left w:val="single" w:color="auto" w:sz="4" w:space="0"/>
              <w:bottom w:val="single" w:color="auto" w:sz="4" w:space="0"/>
              <w:right w:val="single" w:color="auto" w:sz="4" w:space="0"/>
            </w:tcBorders>
            <w:vAlign w:val="center"/>
          </w:tcPr>
          <w:p>
            <w:pPr>
              <w:spacing w:after="0" w:line="240" w:lineRule="auto"/>
              <w:ind w:firstLine="480" w:firstLineChars="0"/>
              <w:jc w:val="both"/>
              <w:rPr>
                <w:rFonts w:cs="Times New Roman"/>
                <w:sz w:val="24"/>
                <w:szCs w:val="24"/>
                <w14:ligatures w14:val="none"/>
              </w:rPr>
            </w:pPr>
          </w:p>
        </w:tc>
      </w:tr>
      <w:tr>
        <w:tblPrEx>
          <w:tblCellMar>
            <w:top w:w="0" w:type="dxa"/>
            <w:left w:w="108" w:type="dxa"/>
            <w:bottom w:w="0" w:type="dxa"/>
            <w:right w:w="108" w:type="dxa"/>
          </w:tblCellMar>
        </w:tblPrEx>
        <w:trPr>
          <w:trHeight w:val="407" w:hRule="atLeast"/>
          <w:jc w:val="center"/>
        </w:trPr>
        <w:tc>
          <w:tcPr>
            <w:tcW w:w="1875" w:type="dxa"/>
            <w:tcBorders>
              <w:top w:val="single" w:color="auto" w:sz="4" w:space="0"/>
              <w:left w:val="single" w:color="auto" w:sz="4" w:space="0"/>
              <w:bottom w:val="single" w:color="auto" w:sz="4" w:space="0"/>
              <w:right w:val="single" w:color="auto" w:sz="4" w:space="0"/>
            </w:tcBorders>
            <w:vAlign w:val="center"/>
          </w:tcPr>
          <w:p>
            <w:pPr>
              <w:spacing w:after="0" w:line="240" w:lineRule="auto"/>
              <w:ind w:firstLine="0" w:firstLineChars="0"/>
              <w:jc w:val="both"/>
              <w:rPr>
                <w:rFonts w:cs="Times New Roman"/>
                <w:sz w:val="24"/>
                <w:szCs w:val="24"/>
                <w14:ligatures w14:val="none"/>
              </w:rPr>
            </w:pPr>
            <w:r>
              <w:rPr>
                <w:rFonts w:hint="eastAsia" w:cs="Times New Roman"/>
                <w:sz w:val="24"/>
                <w:szCs w:val="24"/>
                <w14:ligatures w14:val="none"/>
              </w:rPr>
              <w:t>法定代表人</w:t>
            </w:r>
          </w:p>
        </w:tc>
        <w:tc>
          <w:tcPr>
            <w:tcW w:w="1806" w:type="dxa"/>
            <w:tcBorders>
              <w:top w:val="single" w:color="auto" w:sz="4" w:space="0"/>
              <w:left w:val="nil"/>
              <w:bottom w:val="single" w:color="auto" w:sz="4" w:space="0"/>
              <w:right w:val="single" w:color="auto" w:sz="4" w:space="0"/>
            </w:tcBorders>
            <w:vAlign w:val="center"/>
          </w:tcPr>
          <w:p>
            <w:pPr>
              <w:spacing w:after="0" w:line="240" w:lineRule="auto"/>
              <w:ind w:firstLine="480" w:firstLineChars="0"/>
              <w:jc w:val="both"/>
              <w:rPr>
                <w:rFonts w:cs="Times New Roman"/>
                <w:sz w:val="24"/>
                <w:szCs w:val="24"/>
                <w14:ligatures w14:val="none"/>
              </w:rPr>
            </w:pPr>
          </w:p>
        </w:tc>
        <w:tc>
          <w:tcPr>
            <w:tcW w:w="2450" w:type="dxa"/>
            <w:tcBorders>
              <w:top w:val="single" w:color="auto" w:sz="4" w:space="0"/>
              <w:left w:val="nil"/>
              <w:bottom w:val="single" w:color="auto" w:sz="4" w:space="0"/>
              <w:right w:val="single" w:color="auto" w:sz="4" w:space="0"/>
            </w:tcBorders>
            <w:vAlign w:val="center"/>
          </w:tcPr>
          <w:p>
            <w:pPr>
              <w:spacing w:after="0" w:line="240" w:lineRule="auto"/>
              <w:ind w:firstLine="0" w:firstLineChars="0"/>
              <w:jc w:val="both"/>
              <w:rPr>
                <w:rFonts w:cs="Times New Roman"/>
                <w:sz w:val="24"/>
                <w:szCs w:val="24"/>
                <w14:ligatures w14:val="none"/>
              </w:rPr>
            </w:pPr>
            <w:r>
              <w:rPr>
                <w:rFonts w:hint="eastAsia" w:cs="Times New Roman"/>
                <w:sz w:val="24"/>
                <w:szCs w:val="24"/>
                <w14:ligatures w14:val="none"/>
              </w:rPr>
              <w:t>联系电话</w:t>
            </w:r>
          </w:p>
        </w:tc>
        <w:tc>
          <w:tcPr>
            <w:tcW w:w="2228" w:type="dxa"/>
            <w:tcBorders>
              <w:top w:val="single" w:color="auto" w:sz="4" w:space="0"/>
              <w:left w:val="nil"/>
              <w:bottom w:val="single" w:color="auto" w:sz="4" w:space="0"/>
              <w:right w:val="single" w:color="auto" w:sz="4" w:space="0"/>
            </w:tcBorders>
            <w:vAlign w:val="center"/>
          </w:tcPr>
          <w:p>
            <w:pPr>
              <w:spacing w:after="0" w:line="240" w:lineRule="auto"/>
              <w:ind w:firstLine="480" w:firstLineChars="0"/>
              <w:jc w:val="both"/>
              <w:rPr>
                <w:rFonts w:cs="Times New Roman"/>
                <w:sz w:val="24"/>
                <w:szCs w:val="24"/>
                <w14:ligatures w14:val="none"/>
              </w:rPr>
            </w:pPr>
          </w:p>
        </w:tc>
      </w:tr>
      <w:tr>
        <w:tblPrEx>
          <w:tblCellMar>
            <w:top w:w="0" w:type="dxa"/>
            <w:left w:w="108" w:type="dxa"/>
            <w:bottom w:w="0" w:type="dxa"/>
            <w:right w:w="108" w:type="dxa"/>
          </w:tblCellMar>
        </w:tblPrEx>
        <w:trPr>
          <w:trHeight w:val="6831" w:hRule="atLeast"/>
          <w:jc w:val="center"/>
        </w:trPr>
        <w:tc>
          <w:tcPr>
            <w:tcW w:w="8359" w:type="dxa"/>
            <w:gridSpan w:val="4"/>
            <w:tcBorders>
              <w:top w:val="single" w:color="auto" w:sz="4" w:space="0"/>
              <w:left w:val="single" w:color="auto" w:sz="4" w:space="0"/>
              <w:bottom w:val="nil"/>
              <w:right w:val="single" w:color="auto" w:sz="4" w:space="0"/>
            </w:tcBorders>
          </w:tcPr>
          <w:p>
            <w:pPr>
              <w:widowControl w:val="0"/>
              <w:spacing w:after="0" w:line="320" w:lineRule="exact"/>
              <w:ind w:firstLine="480"/>
              <w:jc w:val="both"/>
              <w:rPr>
                <w:rFonts w:cs="Times New Roman"/>
                <w:sz w:val="24"/>
                <w:szCs w:val="24"/>
                <w14:ligatures w14:val="none"/>
              </w:rPr>
            </w:pPr>
            <w:r>
              <w:rPr>
                <w:rFonts w:hint="eastAsia" w:cs="Times New Roman"/>
                <w:sz w:val="24"/>
                <w:szCs w:val="24"/>
                <w14:ligatures w14:val="none"/>
              </w:rPr>
              <w:t>项目申报单位承诺：</w:t>
            </w:r>
            <w:r>
              <w:rPr>
                <w:rFonts w:cs="Times New Roman"/>
                <w:sz w:val="24"/>
                <w:szCs w:val="24"/>
                <w14:ligatures w14:val="none"/>
              </w:rPr>
              <w:t xml:space="preserve">                                                      </w:t>
            </w:r>
          </w:p>
          <w:p>
            <w:pPr>
              <w:widowControl w:val="0"/>
              <w:spacing w:after="0" w:line="320" w:lineRule="exact"/>
              <w:ind w:firstLine="480"/>
              <w:jc w:val="both"/>
              <w:rPr>
                <w:rFonts w:cs="Times New Roman"/>
                <w:sz w:val="24"/>
                <w:szCs w:val="24"/>
                <w14:ligatures w14:val="none"/>
              </w:rPr>
            </w:pPr>
            <w:r>
              <w:rPr>
                <w:rFonts w:cs="Times New Roman"/>
                <w:sz w:val="24"/>
                <w:szCs w:val="24"/>
                <w14:ligatures w14:val="none"/>
              </w:rPr>
              <w:t>1</w:t>
            </w:r>
            <w:r>
              <w:rPr>
                <w:rFonts w:hint="eastAsia" w:cs="Times New Roman"/>
                <w:sz w:val="24"/>
                <w:szCs w:val="24"/>
                <w14:ligatures w14:val="none"/>
              </w:rPr>
              <w:t>.本单位诚信守法经营，未被列入“信用中国”严重失信主体名单。</w:t>
            </w:r>
          </w:p>
          <w:p>
            <w:pPr>
              <w:widowControl w:val="0"/>
              <w:spacing w:after="0" w:line="320" w:lineRule="exact"/>
              <w:ind w:firstLine="480"/>
              <w:jc w:val="both"/>
              <w:rPr>
                <w:rFonts w:cs="Times New Roman"/>
                <w:sz w:val="24"/>
                <w:szCs w:val="24"/>
                <w14:ligatures w14:val="none"/>
              </w:rPr>
            </w:pPr>
            <w:r>
              <w:rPr>
                <w:rFonts w:cs="Times New Roman"/>
                <w:sz w:val="24"/>
                <w:szCs w:val="24"/>
                <w14:ligatures w14:val="none"/>
              </w:rPr>
              <w:t>2</w:t>
            </w:r>
            <w:r>
              <w:rPr>
                <w:rFonts w:hint="eastAsia" w:cs="Times New Roman"/>
                <w:sz w:val="24"/>
                <w:szCs w:val="24"/>
                <w14:ligatures w14:val="none"/>
              </w:rPr>
              <w:t>.本单位所提供的申报材料及附件均依据相关项目申报要求，据实提供，真实、准确、合法、有效。如存在与申报实际情况不符、申报材料弄虚作假或以任何形式骗取奖补，本单位将全额退还已据此取得的奖补，且在《若干措施》政策有效期内不再申请《若干措施》项下相关的任何奖补。三亚崖州湾科技城管理局（以下简称“管理局”）有权依法依规在三亚崖州湾科技城企业信用服务平台进行信用记录，并视情节轻重追究申报主体和相关责任人员的法律责任。</w:t>
            </w:r>
          </w:p>
          <w:p>
            <w:pPr>
              <w:widowControl w:val="0"/>
              <w:spacing w:after="0" w:line="320" w:lineRule="exact"/>
              <w:ind w:firstLine="480"/>
              <w:jc w:val="both"/>
              <w:rPr>
                <w:rFonts w:cs="Times New Roman"/>
                <w:sz w:val="24"/>
                <w:szCs w:val="24"/>
                <w14:ligatures w14:val="none"/>
              </w:rPr>
            </w:pPr>
            <w:r>
              <w:rPr>
                <w:rFonts w:cs="Times New Roman"/>
                <w:sz w:val="24"/>
                <w:szCs w:val="24"/>
                <w14:ligatures w14:val="none"/>
              </w:rPr>
              <w:t>3</w:t>
            </w:r>
            <w:r>
              <w:rPr>
                <w:rFonts w:hint="eastAsia" w:cs="Times New Roman"/>
                <w:sz w:val="24"/>
                <w:szCs w:val="24"/>
                <w14:ligatures w14:val="none"/>
              </w:rPr>
              <w:t>.本单位在申报《若干措施》奖补政策前，如已享受管理局支持的其他同类或相似奖补政策，按照“就高不重复”的原则执行，特别说明的除外。</w:t>
            </w:r>
          </w:p>
          <w:p>
            <w:pPr>
              <w:widowControl w:val="0"/>
              <w:spacing w:after="0" w:line="320" w:lineRule="exact"/>
              <w:ind w:firstLine="480"/>
              <w:jc w:val="both"/>
              <w:rPr>
                <w:rFonts w:cs="Times New Roman"/>
                <w:sz w:val="24"/>
                <w:szCs w:val="24"/>
                <w14:ligatures w14:val="none"/>
              </w:rPr>
            </w:pPr>
            <w:r>
              <w:rPr>
                <w:rFonts w:cs="Times New Roman"/>
                <w:sz w:val="24"/>
                <w:szCs w:val="24"/>
                <w14:ligatures w14:val="none"/>
              </w:rPr>
              <w:t>4</w:t>
            </w:r>
            <w:r>
              <w:rPr>
                <w:rFonts w:hint="eastAsia" w:cs="Times New Roman"/>
                <w:sz w:val="24"/>
                <w:szCs w:val="24"/>
                <w14:ligatures w14:val="none"/>
              </w:rPr>
              <w:t>.投保人与被保险人一致，且与承保单位不存在关联关系。本单位已按《若干措施》成功申请补贴的科技保险业务后，若因特殊原因确需提前终止或解除保险合同的，按照保险责任开始之日起至合同提前终止或解除之日止期间与保险期间的日比例为基数计算应享受补贴，如最终实际支付科技保险保费低于前述基数的，以实际支付保费金额为基数计算应享受补贴，并退还剩余补贴（仅适用于申请《若干措施》中的“科技型企业科技保险补贴”奖补政策）。</w:t>
            </w:r>
          </w:p>
          <w:p>
            <w:pPr>
              <w:widowControl w:val="0"/>
              <w:spacing w:after="0" w:line="320" w:lineRule="exact"/>
              <w:ind w:firstLine="480"/>
              <w:jc w:val="both"/>
              <w:rPr>
                <w:rFonts w:cs="Times New Roman"/>
                <w:sz w:val="24"/>
                <w:szCs w:val="24"/>
                <w14:ligatures w14:val="none"/>
              </w:rPr>
            </w:pPr>
            <w:r>
              <w:rPr>
                <w:rFonts w:cs="Times New Roman"/>
                <w:sz w:val="24"/>
                <w:szCs w:val="24"/>
                <w14:ligatures w14:val="none"/>
              </w:rPr>
              <w:t>5</w:t>
            </w:r>
            <w:r>
              <w:rPr>
                <w:rFonts w:hint="eastAsia" w:cs="Times New Roman"/>
                <w:sz w:val="24"/>
                <w:szCs w:val="24"/>
                <w14:ligatures w14:val="none"/>
              </w:rPr>
              <w:t>.自觉接受管理局的监督检查，同意配合提供相关检查资料。</w:t>
            </w:r>
          </w:p>
          <w:p>
            <w:pPr>
              <w:widowControl w:val="0"/>
              <w:spacing w:after="0" w:line="320" w:lineRule="exact"/>
              <w:ind w:firstLine="480"/>
              <w:jc w:val="both"/>
              <w:rPr>
                <w:rFonts w:cs="Times New Roman"/>
                <w:sz w:val="24"/>
                <w:szCs w:val="24"/>
                <w14:ligatures w14:val="none"/>
              </w:rPr>
            </w:pPr>
            <w:r>
              <w:rPr>
                <w:rFonts w:hint="eastAsia" w:cs="Times New Roman"/>
                <w:sz w:val="24"/>
                <w:szCs w:val="24"/>
                <w14:ligatures w14:val="none"/>
              </w:rPr>
              <w:t>6.如出现任何违反上述承诺之处，本单位将自愿接受约束，并承担因此所产生的一切法律责任。</w:t>
            </w:r>
          </w:p>
          <w:p>
            <w:pPr>
              <w:widowControl w:val="0"/>
              <w:spacing w:after="0" w:line="320" w:lineRule="exact"/>
              <w:ind w:firstLine="480"/>
              <w:jc w:val="both"/>
              <w:rPr>
                <w:rFonts w:cs="Times New Roman"/>
                <w:sz w:val="24"/>
                <w:szCs w:val="24"/>
                <w14:ligatures w14:val="none"/>
              </w:rPr>
            </w:pPr>
            <w:r>
              <w:rPr>
                <w:rFonts w:hint="eastAsia" w:cs="Times New Roman"/>
                <w:color w:val="000000"/>
                <w:kern w:val="0"/>
                <w:sz w:val="24"/>
                <w:szCs w:val="24"/>
                <w14:ligatures w14:val="none"/>
              </w:rPr>
              <w:t>7.本承诺书同意向社会公开。</w:t>
            </w:r>
          </w:p>
          <w:p>
            <w:pPr>
              <w:spacing w:after="0" w:line="320" w:lineRule="exact"/>
              <w:ind w:firstLine="480"/>
              <w:jc w:val="both"/>
              <w:rPr>
                <w:rFonts w:cs="Times New Roman"/>
                <w:sz w:val="24"/>
                <w:szCs w:val="24"/>
                <w14:ligatures w14:val="none"/>
              </w:rPr>
            </w:pPr>
          </w:p>
          <w:p>
            <w:pPr>
              <w:spacing w:after="0" w:line="320" w:lineRule="exact"/>
              <w:ind w:firstLine="480"/>
              <w:jc w:val="both"/>
              <w:rPr>
                <w:rFonts w:cs="Times New Roman"/>
                <w:sz w:val="24"/>
                <w:szCs w:val="24"/>
                <w14:ligatures w14:val="none"/>
              </w:rPr>
            </w:pPr>
          </w:p>
          <w:p>
            <w:pPr>
              <w:spacing w:after="0" w:line="320" w:lineRule="exact"/>
              <w:ind w:firstLine="480"/>
              <w:jc w:val="both"/>
              <w:rPr>
                <w:rFonts w:cs="Times New Roman"/>
                <w:sz w:val="24"/>
                <w:szCs w:val="24"/>
                <w14:ligatures w14:val="none"/>
              </w:rPr>
            </w:pPr>
            <w:r>
              <w:rPr>
                <w:rFonts w:hint="eastAsia" w:cs="Times New Roman"/>
                <w:sz w:val="24"/>
                <w:szCs w:val="24"/>
                <w14:ligatures w14:val="none"/>
              </w:rPr>
              <w:t>法定代表人（签名）</w:t>
            </w:r>
            <w:r>
              <w:rPr>
                <w:rFonts w:cs="Times New Roman"/>
                <w:sz w:val="24"/>
                <w:szCs w:val="24"/>
                <w14:ligatures w14:val="none"/>
              </w:rPr>
              <w:t xml:space="preserve">          </w:t>
            </w:r>
            <w:r>
              <w:rPr>
                <w:rFonts w:hint="eastAsia" w:cs="Times New Roman"/>
                <w:sz w:val="24"/>
                <w:szCs w:val="24"/>
                <w14:ligatures w14:val="none"/>
              </w:rPr>
              <w:t>（加盖公章）</w:t>
            </w:r>
            <w:r>
              <w:rPr>
                <w:rFonts w:cs="Times New Roman"/>
                <w:sz w:val="24"/>
                <w:szCs w:val="24"/>
                <w14:ligatures w14:val="none"/>
              </w:rPr>
              <w:t xml:space="preserve">     </w:t>
            </w:r>
          </w:p>
        </w:tc>
      </w:tr>
      <w:tr>
        <w:tblPrEx>
          <w:tblCellMar>
            <w:top w:w="0" w:type="dxa"/>
            <w:left w:w="108" w:type="dxa"/>
            <w:bottom w:w="0" w:type="dxa"/>
            <w:right w:w="108" w:type="dxa"/>
          </w:tblCellMar>
        </w:tblPrEx>
        <w:trPr>
          <w:trHeight w:val="529" w:hRule="atLeast"/>
          <w:jc w:val="center"/>
        </w:trPr>
        <w:tc>
          <w:tcPr>
            <w:tcW w:w="8359" w:type="dxa"/>
            <w:gridSpan w:val="4"/>
            <w:tcBorders>
              <w:top w:val="nil"/>
              <w:left w:val="single" w:color="auto" w:sz="4" w:space="0"/>
              <w:bottom w:val="single" w:color="auto" w:sz="4" w:space="0"/>
              <w:right w:val="single" w:color="auto" w:sz="4" w:space="0"/>
            </w:tcBorders>
            <w:vAlign w:val="center"/>
          </w:tcPr>
          <w:p>
            <w:pPr>
              <w:spacing w:after="0" w:line="240" w:lineRule="auto"/>
              <w:ind w:firstLine="480"/>
              <w:jc w:val="both"/>
              <w:rPr>
                <w:rFonts w:cs="Times New Roman"/>
                <w:sz w:val="24"/>
                <w:szCs w:val="24"/>
                <w14:ligatures w14:val="none"/>
              </w:rPr>
            </w:pPr>
            <w:r>
              <w:rPr>
                <w:rFonts w:cs="Times New Roman"/>
                <w:sz w:val="24"/>
                <w:szCs w:val="24"/>
                <w14:ligatures w14:val="none"/>
              </w:rPr>
              <w:t xml:space="preserve">                          </w:t>
            </w:r>
            <w:r>
              <w:rPr>
                <w:rFonts w:hint="eastAsia" w:cs="Times New Roman"/>
                <w:sz w:val="24"/>
                <w:szCs w:val="24"/>
                <w14:ligatures w14:val="none"/>
              </w:rPr>
              <w:t>日期：</w:t>
            </w:r>
            <w:r>
              <w:rPr>
                <w:rFonts w:cs="Times New Roman"/>
                <w:sz w:val="24"/>
                <w:szCs w:val="24"/>
                <w14:ligatures w14:val="none"/>
              </w:rPr>
              <w:t xml:space="preserve">     </w:t>
            </w:r>
            <w:r>
              <w:rPr>
                <w:rFonts w:hint="eastAsia" w:cs="Times New Roman"/>
                <w:sz w:val="24"/>
                <w:szCs w:val="24"/>
                <w14:ligatures w14:val="none"/>
              </w:rPr>
              <w:t>年</w:t>
            </w:r>
            <w:r>
              <w:rPr>
                <w:rFonts w:cs="Times New Roman"/>
                <w:sz w:val="24"/>
                <w:szCs w:val="24"/>
                <w14:ligatures w14:val="none"/>
              </w:rPr>
              <w:t xml:space="preserve">      </w:t>
            </w:r>
            <w:r>
              <w:rPr>
                <w:rFonts w:hint="eastAsia" w:cs="Times New Roman"/>
                <w:sz w:val="24"/>
                <w:szCs w:val="24"/>
                <w14:ligatures w14:val="none"/>
              </w:rPr>
              <w:t>月</w:t>
            </w:r>
            <w:r>
              <w:rPr>
                <w:rFonts w:cs="Times New Roman"/>
                <w:sz w:val="24"/>
                <w:szCs w:val="24"/>
                <w14:ligatures w14:val="none"/>
              </w:rPr>
              <w:t xml:space="preserve">      </w:t>
            </w:r>
            <w:r>
              <w:rPr>
                <w:rFonts w:hint="eastAsia" w:cs="Times New Roman"/>
                <w:sz w:val="24"/>
                <w:szCs w:val="24"/>
                <w14:ligatures w14:val="none"/>
              </w:rPr>
              <w:t>日</w:t>
            </w:r>
          </w:p>
        </w:tc>
      </w:tr>
    </w:tbl>
    <w:p>
      <w:pPr>
        <w:keepNext w:val="0"/>
        <w:keepLines w:val="0"/>
        <w:pageBreakBefore w:val="0"/>
        <w:widowControl w:val="0"/>
        <w:kinsoku/>
        <w:wordWrap/>
        <w:overflowPunct/>
        <w:topLinePunct w:val="0"/>
        <w:autoSpaceDE/>
        <w:autoSpaceDN/>
        <w:bidi w:val="0"/>
        <w:adjustRightInd/>
        <w:snapToGrid/>
        <w:spacing w:after="0" w:line="578" w:lineRule="exact"/>
        <w:ind w:firstLine="0" w:firstLineChars="0"/>
        <w:jc w:val="both"/>
        <w:textAlignment w:val="auto"/>
        <w:rPr>
          <w:rFonts w:hint="default" w:ascii="Times New Roman" w:hAnsi="Times New Roman" w:eastAsia="黑体" w:cs="Times New Roman"/>
          <w:kern w:val="44"/>
          <w14:ligatures w14:val="none"/>
        </w:rPr>
      </w:pPr>
      <w:r>
        <w:rPr>
          <w:rFonts w:eastAsia="黑体" w:cs="Times New Roman"/>
          <w:kern w:val="44"/>
          <w:szCs w:val="24"/>
          <w14:ligatures w14:val="none"/>
        </w:rPr>
        <w:br w:type="page"/>
      </w:r>
      <w:r>
        <w:rPr>
          <w:rFonts w:hint="default" w:ascii="Times New Roman" w:hAnsi="Times New Roman" w:eastAsia="黑体" w:cs="Times New Roman"/>
          <w14:ligatures w14:val="none"/>
        </w:rPr>
        <w:t>附件3</w:t>
      </w:r>
    </w:p>
    <w:p>
      <w:pPr>
        <w:keepNext w:val="0"/>
        <w:keepLines w:val="0"/>
        <w:pageBreakBefore w:val="0"/>
        <w:widowControl w:val="0"/>
        <w:kinsoku/>
        <w:wordWrap/>
        <w:overflowPunct/>
        <w:topLinePunct w:val="0"/>
        <w:autoSpaceDE/>
        <w:autoSpaceDN/>
        <w:bidi w:val="0"/>
        <w:adjustRightInd/>
        <w:snapToGrid/>
        <w:spacing w:after="0" w:line="578" w:lineRule="exact"/>
        <w:ind w:firstLine="0" w:firstLineChars="0"/>
        <w:jc w:val="center"/>
        <w:textAlignment w:val="auto"/>
        <w:rPr>
          <w:rFonts w:cs="Times New Roman"/>
          <w:sz w:val="44"/>
          <w:szCs w:val="44"/>
          <w14:ligatures w14:val="none"/>
        </w:rPr>
      </w:pPr>
    </w:p>
    <w:p>
      <w:pPr>
        <w:keepNext w:val="0"/>
        <w:keepLines w:val="0"/>
        <w:pageBreakBefore w:val="0"/>
        <w:widowControl w:val="0"/>
        <w:kinsoku/>
        <w:wordWrap/>
        <w:overflowPunct/>
        <w:topLinePunct w:val="0"/>
        <w:autoSpaceDE/>
        <w:autoSpaceDN/>
        <w:bidi w:val="0"/>
        <w:adjustRightInd/>
        <w:snapToGrid/>
        <w:spacing w:after="0" w:line="578" w:lineRule="exact"/>
        <w:ind w:firstLine="0" w:firstLineChars="0"/>
        <w:jc w:val="center"/>
        <w:textAlignment w:val="auto"/>
        <w:rPr>
          <w:rFonts w:eastAsia="方正小标宋_GBK" w:cs="Times New Roman"/>
          <w:sz w:val="44"/>
          <w:szCs w:val="44"/>
          <w14:ligatures w14:val="none"/>
        </w:rPr>
      </w:pPr>
      <w:r>
        <w:rPr>
          <w:rFonts w:hint="eastAsia" w:eastAsia="方正小标宋_GBK" w:cs="Times New Roman"/>
          <w:sz w:val="44"/>
          <w:szCs w:val="44"/>
          <w14:ligatures w14:val="none"/>
        </w:rPr>
        <w:t>企业在科技城内实质性运营的证明材料要求</w:t>
      </w:r>
    </w:p>
    <w:p>
      <w:pPr>
        <w:keepNext w:val="0"/>
        <w:keepLines w:val="0"/>
        <w:pageBreakBefore w:val="0"/>
        <w:widowControl w:val="0"/>
        <w:kinsoku/>
        <w:wordWrap/>
        <w:overflowPunct/>
        <w:topLinePunct w:val="0"/>
        <w:autoSpaceDE/>
        <w:autoSpaceDN/>
        <w:bidi w:val="0"/>
        <w:adjustRightInd/>
        <w:snapToGrid/>
        <w:spacing w:after="0" w:line="578" w:lineRule="exact"/>
        <w:ind w:firstLine="0" w:firstLineChars="0"/>
        <w:jc w:val="center"/>
        <w:textAlignment w:val="auto"/>
        <w:rPr>
          <w:rFonts w:cs="Times New Roman"/>
          <w:sz w:val="44"/>
          <w:szCs w:val="44"/>
          <w14:ligatures w14:val="none"/>
        </w:rPr>
      </w:pP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eastAsia="黑体" w:cs="Times New Roman"/>
          <w:szCs w:val="32"/>
          <w14:ligatures w14:val="none"/>
        </w:rPr>
      </w:pPr>
      <w:r>
        <w:rPr>
          <w:rFonts w:hint="eastAsia" w:ascii="黑体" w:hAnsi="宋体" w:eastAsia="黑体" w:cs="黑体"/>
          <w:szCs w:val="32"/>
          <w:lang w:bidi="ar"/>
          <w14:ligatures w14:val="none"/>
        </w:rPr>
        <w:t>一、企业实质性运营要求</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cs="Times New Roman"/>
          <w:szCs w:val="32"/>
          <w:lang w:bidi="ar"/>
          <w14:ligatures w14:val="none"/>
        </w:rPr>
      </w:pPr>
      <w:r>
        <w:rPr>
          <w:rFonts w:cs="Times New Roman"/>
          <w:szCs w:val="32"/>
          <w:lang w:bidi="ar"/>
          <w14:ligatures w14:val="none"/>
        </w:rPr>
        <w:t>1.</w:t>
      </w:r>
      <w:r>
        <w:rPr>
          <w:rFonts w:hint="eastAsia" w:cs="Times New Roman"/>
          <w:szCs w:val="32"/>
          <w:lang w:bidi="ar"/>
          <w14:ligatures w14:val="none"/>
        </w:rPr>
        <w:t>企业拥有固定生产经营场所和必要的生产经营设备设施等；并以本企业名义对外订立业务合同；</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cs="Times New Roman"/>
          <w:szCs w:val="32"/>
          <w:lang w:bidi="ar"/>
          <w14:ligatures w14:val="none"/>
        </w:rPr>
      </w:pPr>
      <w:r>
        <w:rPr>
          <w:rFonts w:cs="Times New Roman"/>
          <w:szCs w:val="32"/>
          <w:lang w:bidi="ar"/>
          <w14:ligatures w14:val="none"/>
        </w:rPr>
        <w:t>2.</w:t>
      </w:r>
      <w:r>
        <w:rPr>
          <w:rFonts w:hint="eastAsia" w:cs="Times New Roman"/>
          <w:szCs w:val="32"/>
          <w:lang w:bidi="ar"/>
          <w14:ligatures w14:val="none"/>
        </w:rPr>
        <w:t>企业有满足生产经营需要的员工在企业实际工作，申报政策前</w:t>
      </w:r>
      <w:r>
        <w:rPr>
          <w:rFonts w:cs="Times New Roman"/>
          <w:szCs w:val="32"/>
          <w:lang w:bidi="ar"/>
          <w14:ligatures w14:val="none"/>
        </w:rPr>
        <w:t>6</w:t>
      </w:r>
      <w:r>
        <w:rPr>
          <w:rFonts w:hint="eastAsia" w:cs="Times New Roman"/>
          <w:szCs w:val="32"/>
          <w:lang w:bidi="ar"/>
          <w14:ligatures w14:val="none"/>
        </w:rPr>
        <w:t>个月每月至少有</w:t>
      </w:r>
      <w:r>
        <w:rPr>
          <w:rFonts w:cs="Times New Roman"/>
          <w:szCs w:val="32"/>
          <w:lang w:bidi="ar"/>
          <w14:ligatures w14:val="none"/>
        </w:rPr>
        <w:t>3</w:t>
      </w:r>
      <w:r>
        <w:rPr>
          <w:rFonts w:hint="eastAsia" w:cs="Times New Roman"/>
          <w:szCs w:val="32"/>
          <w:lang w:bidi="ar"/>
          <w14:ligatures w14:val="none"/>
        </w:rPr>
        <w:t>名职工在企业缴纳社保（不含补缴社保情形）；</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cs="Times New Roman"/>
          <w:szCs w:val="32"/>
          <w:lang w:bidi="ar"/>
          <w14:ligatures w14:val="none"/>
        </w:rPr>
        <w:t>3.</w:t>
      </w:r>
      <w:r>
        <w:rPr>
          <w:rFonts w:hint="eastAsia" w:cs="Times New Roman"/>
          <w:szCs w:val="32"/>
          <w:lang w:bidi="ar"/>
          <w14:ligatures w14:val="none"/>
        </w:rPr>
        <w:t>财务独立，为开展生产经营活动而持有必要资产。</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eastAsia="黑体" w:cs="Times New Roman"/>
          <w:szCs w:val="32"/>
          <w14:ligatures w14:val="none"/>
        </w:rPr>
      </w:pPr>
      <w:r>
        <w:rPr>
          <w:rFonts w:hint="eastAsia" w:ascii="黑体" w:hAnsi="宋体" w:eastAsia="黑体" w:cs="黑体"/>
          <w:szCs w:val="32"/>
          <w:lang w:bidi="ar"/>
          <w14:ligatures w14:val="none"/>
        </w:rPr>
        <w:t>二、申请奖补需要提交的材料</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cs="Times New Roman"/>
          <w:szCs w:val="32"/>
          <w:lang w:bidi="ar"/>
          <w14:ligatures w14:val="none"/>
        </w:rPr>
      </w:pPr>
      <w:r>
        <w:rPr>
          <w:rFonts w:hint="eastAsia" w:cs="Times New Roman"/>
          <w:szCs w:val="32"/>
          <w:lang w:bidi="ar"/>
          <w14:ligatures w14:val="none"/>
        </w:rPr>
        <w:t>1.固定办公地点的房屋产权证明（如办公场地为租赁使用，则提供房屋租赁合同或办公工位租赁合同、租金支付发票和银行流水凭证的复印件；如办公场地为自有产权，则提供不动产权证）及办公现场照片；</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cs="Times New Roman"/>
          <w:szCs w:val="32"/>
          <w:lang w:bidi="ar"/>
          <w14:ligatures w14:val="none"/>
        </w:rPr>
      </w:pPr>
      <w:r>
        <w:rPr>
          <w:rFonts w:hint="eastAsia" w:cs="Times New Roman"/>
          <w:szCs w:val="32"/>
          <w:lang w:bidi="ar"/>
          <w14:ligatures w14:val="none"/>
        </w:rPr>
        <w:t>2.单位职工参保花名册；</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lang w:bidi="ar"/>
          <w14:ligatures w14:val="none"/>
        </w:rPr>
        <w:t>3.营业执照复印件。</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eastAsia="黑体" w:cs="Times New Roman"/>
          <w:szCs w:val="32"/>
          <w14:ligatures w14:val="none"/>
        </w:rPr>
      </w:pPr>
      <w:r>
        <w:rPr>
          <w:rFonts w:hint="eastAsia" w:ascii="黑体" w:hAnsi="宋体" w:eastAsia="黑体" w:cs="黑体"/>
          <w:szCs w:val="32"/>
          <w:lang w:bidi="ar"/>
          <w14:ligatures w14:val="none"/>
        </w:rPr>
        <w:t>三、现场审核需要查看的材料</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cs="Times New Roman"/>
          <w:szCs w:val="32"/>
          <w:lang w:bidi="ar"/>
          <w14:ligatures w14:val="none"/>
        </w:rPr>
      </w:pPr>
      <w:r>
        <w:rPr>
          <w:rFonts w:cs="Times New Roman"/>
          <w:szCs w:val="32"/>
          <w:lang w:bidi="ar"/>
          <w14:ligatures w14:val="none"/>
        </w:rPr>
        <w:t>1.</w:t>
      </w:r>
      <w:r>
        <w:rPr>
          <w:rFonts w:hint="eastAsia" w:cs="Times New Roman"/>
          <w:szCs w:val="32"/>
          <w:lang w:bidi="ar"/>
          <w14:ligatures w14:val="none"/>
        </w:rPr>
        <w:t>会计凭证、会计账簿和财务报表等会计档案资料；</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cs="Times New Roman"/>
          <w:szCs w:val="32"/>
          <w:lang w:bidi="ar"/>
          <w14:ligatures w14:val="none"/>
        </w:rPr>
      </w:pPr>
      <w:r>
        <w:rPr>
          <w:rFonts w:hint="eastAsia" w:cs="Times New Roman"/>
          <w:szCs w:val="32"/>
          <w:lang w:bidi="ar"/>
          <w14:ligatures w14:val="none"/>
        </w:rPr>
        <w:t>2.以本企业名义对外订立的业务合同及收付款凭证；</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cs="Times New Roman"/>
          <w:szCs w:val="32"/>
          <w:lang w:bidi="ar"/>
          <w14:ligatures w14:val="none"/>
        </w:rPr>
      </w:pPr>
      <w:r>
        <w:rPr>
          <w:rFonts w:hint="eastAsia" w:cs="Times New Roman"/>
          <w:szCs w:val="32"/>
          <w:lang w:bidi="ar"/>
          <w14:ligatures w14:val="none"/>
        </w:rPr>
        <w:t>3.场地证明、产权证明、租赁协议等可证明固定生产经营场所相关文件的原件；</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cs="Times New Roman"/>
          <w:szCs w:val="32"/>
          <w14:ligatures w14:val="none"/>
        </w:rPr>
      </w:pPr>
      <w:r>
        <w:rPr>
          <w:rFonts w:hint="eastAsia" w:cs="Times New Roman"/>
          <w:szCs w:val="32"/>
          <w:lang w:bidi="ar"/>
          <w14:ligatures w14:val="none"/>
        </w:rPr>
        <w:t>4.固定资产或无形资产所有权或使用权证明资料。</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eastAsia="黑体" w:cs="Times New Roman"/>
          <w:szCs w:val="32"/>
          <w14:ligatures w14:val="none"/>
        </w:rPr>
      </w:pPr>
      <w:r>
        <w:rPr>
          <w:rFonts w:hint="eastAsia" w:ascii="黑体" w:hAnsi="宋体" w:eastAsia="黑体" w:cs="黑体"/>
          <w:szCs w:val="32"/>
          <w:lang w:bidi="ar"/>
          <w14:ligatures w14:val="none"/>
        </w:rPr>
        <w:t>四、补充说明</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hint="eastAsia" w:ascii="仿宋_GB2312" w:hAnsi="仿宋_GB2312" w:eastAsia="仿宋_GB2312" w:cs="仿宋_GB2312"/>
          <w:szCs w:val="32"/>
          <w:lang w:bidi="ar"/>
          <w14:ligatures w14:val="none"/>
        </w:rPr>
      </w:pPr>
      <w:r>
        <w:rPr>
          <w:rFonts w:cs="Times New Roman"/>
          <w:szCs w:val="32"/>
          <w:lang w:bidi="ar"/>
          <w14:ligatures w14:val="none"/>
        </w:rPr>
        <w:t>1.</w:t>
      </w:r>
      <w:r>
        <w:rPr>
          <w:rFonts w:hint="eastAsia" w:cs="Times New Roman"/>
          <w:szCs w:val="32"/>
          <w:lang w:bidi="ar"/>
          <w14:ligatures w14:val="none"/>
        </w:rPr>
        <w:t>如在</w:t>
      </w:r>
      <w:r>
        <w:rPr>
          <w:rFonts w:hint="eastAsia" w:ascii="仿宋_GB2312" w:hAnsi="仿宋_GB2312" w:eastAsia="仿宋_GB2312" w:cs="仿宋_GB2312"/>
          <w:szCs w:val="32"/>
          <w:lang w:bidi="ar"/>
          <w14:ligatures w14:val="none"/>
        </w:rPr>
        <w:t>政策申报过程中已提供“申请奖补需要提交的材料”或“现场审核需要查看的材料”中的最新版，可不重复提交；</w:t>
      </w:r>
    </w:p>
    <w:p>
      <w:pPr>
        <w:keepNext w:val="0"/>
        <w:keepLines w:val="0"/>
        <w:pageBreakBefore w:val="0"/>
        <w:widowControl w:val="0"/>
        <w:kinsoku/>
        <w:wordWrap/>
        <w:overflowPunct/>
        <w:topLinePunct w:val="0"/>
        <w:autoSpaceDE/>
        <w:autoSpaceDN/>
        <w:bidi w:val="0"/>
        <w:adjustRightInd/>
        <w:snapToGrid/>
        <w:spacing w:after="0" w:line="578" w:lineRule="exact"/>
        <w:ind w:firstLine="640"/>
        <w:jc w:val="both"/>
        <w:textAlignment w:val="auto"/>
        <w:rPr>
          <w:rFonts w:cs="Times New Roman"/>
          <w:szCs w:val="32"/>
          <w:lang w:bidi="ar"/>
          <w14:ligatures w14:val="none"/>
        </w:rPr>
      </w:pPr>
      <w:r>
        <w:rPr>
          <w:rFonts w:cs="Times New Roman"/>
          <w:szCs w:val="32"/>
          <w:lang w:bidi="ar"/>
          <w14:ligatures w14:val="none"/>
        </w:rPr>
        <w:t>2.</w:t>
      </w:r>
      <w:r>
        <w:rPr>
          <w:rFonts w:hint="eastAsia" w:cs="Times New Roman"/>
          <w:szCs w:val="32"/>
          <w:lang w:bidi="ar"/>
          <w14:ligatures w14:val="none"/>
        </w:rPr>
        <w:t>本证明材料要求由三亚崖州湾科技城管理局负责解释，如省市政策或其他文件要求进行更新调整的，则以届时更新调整并发布的内容为准。</w:t>
      </w:r>
    </w:p>
    <w:bookmarkEnd w:id="2"/>
    <w:p>
      <w:pPr>
        <w:keepNext w:val="0"/>
        <w:keepLines w:val="0"/>
        <w:pageBreakBefore w:val="0"/>
        <w:widowControl w:val="0"/>
        <w:kinsoku/>
        <w:wordWrap/>
        <w:overflowPunct/>
        <w:topLinePunct w:val="0"/>
        <w:autoSpaceDE/>
        <w:autoSpaceDN/>
        <w:bidi w:val="0"/>
        <w:adjustRightInd/>
        <w:snapToGrid/>
        <w:spacing w:after="0" w:line="578" w:lineRule="exact"/>
        <w:ind w:firstLine="0" w:firstLineChars="0"/>
        <w:jc w:val="both"/>
        <w:textAlignment w:val="auto"/>
        <w:rPr>
          <w:rFonts w:cs="Times New Roman"/>
          <w14:ligatures w14:val="none"/>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0" w:line="578" w:lineRule="exact"/>
        <w:ind w:firstLine="0" w:firstLineChars="0"/>
        <w:jc w:val="both"/>
        <w:textAlignment w:val="auto"/>
        <w:rPr>
          <w:rFonts w:cs="Times New Roman"/>
          <w14:ligatures w14:val="none"/>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0" w:line="578" w:lineRule="exact"/>
        <w:ind w:firstLine="0" w:firstLineChars="0"/>
        <w:jc w:val="both"/>
        <w:textAlignment w:val="auto"/>
        <w:rPr>
          <w:rFonts w:cs="Times New Roman"/>
          <w14:ligatures w14:val="none"/>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rPr>
      </w:pPr>
    </w:p>
    <w:p>
      <w:pPr>
        <w:keepNext w:val="0"/>
        <w:keepLines w:val="0"/>
        <w:pageBreakBefore w:val="0"/>
        <w:widowControl w:val="0"/>
        <w:kinsoku/>
        <w:wordWrap/>
        <w:overflowPunct/>
        <w:topLinePunct w:val="0"/>
        <w:bidi w:val="0"/>
        <w:snapToGrid/>
        <w:spacing w:line="600" w:lineRule="exact"/>
        <w:ind w:firstLine="320" w:firstLineChars="100"/>
        <w:textAlignment w:val="auto"/>
        <w:rPr>
          <w:rFonts w:hint="default" w:ascii="Times New Roman" w:hAnsi="Times New Roman" w:cs="Times New Roman"/>
          <w:lang w:val="en-US" w:eastAsia="zh-CN"/>
        </w:rPr>
      </w:pPr>
      <w:r>
        <w:rPr>
          <w:rFonts w:hint="default" w:ascii="Times New Roman" w:hAnsi="Times New Roman" w:cs="Times New Roman"/>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37465</wp:posOffset>
                </wp:positionV>
                <wp:extent cx="56007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2.95pt;height:0pt;width:441pt;z-index:251665408;mso-width-relative:page;mso-height-relative:page;" filled="f" stroked="t" coordsize="21600,21600" o:gfxdata="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srAno0gAAAAQBAAAPAAAAAAAAAAEAIAAAACIAAABkcnMvZG93bnJldi54bWxQSwEC&#10;FAAUAAAACACHTuJArzXzZPoBAADyAwAADgAAAAAAAAABACAAAAAhAQAAZHJzL2Uyb0RvYy54bWxQ&#10;SwUGAAAAAAYABgBZAQAAjQUAAAAA&#10;">
                <v:fill on="f" focussize="0,0"/>
                <v:stroke color="#000000" joinstyle="round"/>
                <v:imagedata o:title=""/>
                <o:lock v:ext="edit" aspectratio="f"/>
              </v:line>
            </w:pict>
          </mc:Fallback>
        </mc:AlternateContent>
      </w:r>
      <w:r>
        <w:rPr>
          <w:rFonts w:hint="default" w:ascii="Times New Roman" w:hAnsi="Times New Roman" w:eastAsia="仿宋_GB2312" w:cs="Times New Roman"/>
          <w:sz w:val="28"/>
          <w:szCs w:val="28"/>
        </w:rPr>
        <w:t>三亚</w:t>
      </w:r>
      <w:r>
        <w:rPr>
          <w:rFonts w:hint="default" w:ascii="Times New Roman" w:hAnsi="Times New Roman" w:eastAsia="仿宋_GB2312" w:cs="Times New Roman"/>
          <w:sz w:val="28"/>
          <w:szCs w:val="28"/>
          <w:lang w:eastAsia="zh-CN"/>
        </w:rPr>
        <w:t>崖州湾科技城管理局综合</w:t>
      </w:r>
      <w:r>
        <w:rPr>
          <w:rFonts w:hint="default" w:ascii="Times New Roman" w:hAnsi="Times New Roman" w:eastAsia="仿宋_GB2312" w:cs="Times New Roman"/>
          <w:sz w:val="28"/>
          <w:szCs w:val="28"/>
        </w:rPr>
        <w:t>办公室</w:t>
      </w:r>
      <w:r>
        <w:rPr>
          <w:rFonts w:hint="default" w:ascii="Times New Roman" w:hAnsi="Times New Roman" w:cs="Times New Roman"/>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386080</wp:posOffset>
                </wp:positionV>
                <wp:extent cx="56007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30.4pt;height:0pt;width:441pt;z-index:251664384;mso-width-relative:page;mso-height-relative:page;" filled="f" stroked="t" coordsize="21600,21600" o:gfxdata="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64Or9MAAAAGAQAADwAAAAAAAAABACAAAAAiAAAAZHJzL2Rvd25yZXYueG1sUEsB&#10;AhQAFAAAAAgAh07iQAABYMb6AQAA8gMAAA4AAAAAAAAAAQAgAAAAIgEAAGRycy9lMm9Eb2MueG1s&#10;UEsFBgAAAAAGAAYAWQEAAI4FAAAAAA==&#10;">
                <v:fill on="f" focussize="0,0"/>
                <v:stroke color="#000000" joinstyle="round"/>
                <v:imagedata o:title=""/>
                <o:lock v:ext="edit" aspectratio="f"/>
              </v:line>
            </w:pict>
          </mc:Fallback>
        </mc:AlternateContent>
      </w:r>
      <w:r>
        <w:rPr>
          <w:rFonts w:hint="default" w:ascii="Times New Roman" w:hAnsi="Times New Roman" w:eastAsia="仿宋_GB2312" w:cs="Times New Roman"/>
          <w:sz w:val="28"/>
          <w:szCs w:val="28"/>
        </w:rPr>
        <w:t xml:space="preserve">   </w:t>
      </w:r>
      <w:r>
        <w:rPr>
          <w:rFonts w:hint="default" w:ascii="Times New Roman" w:hAnsi="Times New Roman" w:eastAsia="仿宋_GB2312" w:cs="Times New Roman"/>
          <w:sz w:val="28"/>
          <w:szCs w:val="28"/>
          <w:lang w:val="en-US" w:eastAsia="zh-CN"/>
        </w:rPr>
        <w:t xml:space="preserve">   </w:t>
      </w:r>
      <w:r>
        <w:rPr>
          <w:rFonts w:hint="eastAsia" w:cs="Times New Roman"/>
          <w:sz w:val="28"/>
          <w:szCs w:val="28"/>
          <w:lang w:val="en-US" w:eastAsia="zh-CN"/>
        </w:rPr>
        <w:t xml:space="preserve"> </w:t>
      </w:r>
      <w:r>
        <w:rPr>
          <w:rFonts w:hint="default" w:ascii="Times New Roman" w:hAnsi="Times New Roman" w:eastAsia="仿宋_GB2312" w:cs="Times New Roman"/>
          <w:sz w:val="28"/>
          <w:szCs w:val="28"/>
        </w:rPr>
        <w:t xml:space="preserve">  </w:t>
      </w:r>
      <w:r>
        <w:rPr>
          <w:rFonts w:hint="default" w:ascii="Times New Roman" w:hAnsi="Times New Roman" w:eastAsia="仿宋_GB2312" w:cs="Times New Roman"/>
          <w:sz w:val="28"/>
          <w:szCs w:val="28"/>
          <w:lang w:val="en-US" w:eastAsia="zh-CN"/>
        </w:rPr>
        <w:t>202</w:t>
      </w:r>
      <w:r>
        <w:rPr>
          <w:rFonts w:hint="eastAsia" w:cs="Times New Roman"/>
          <w:sz w:val="28"/>
          <w:szCs w:val="28"/>
          <w:lang w:val="en-US" w:eastAsia="zh-CN"/>
        </w:rPr>
        <w:t>6</w:t>
      </w:r>
      <w:r>
        <w:rPr>
          <w:rFonts w:hint="default" w:ascii="Times New Roman" w:hAnsi="Times New Roman" w:eastAsia="仿宋_GB2312" w:cs="Times New Roman"/>
          <w:sz w:val="28"/>
          <w:szCs w:val="28"/>
        </w:rPr>
        <w:t>年</w:t>
      </w:r>
      <w:r>
        <w:rPr>
          <w:rFonts w:hint="eastAsia" w:cs="Times New Roman"/>
          <w:sz w:val="28"/>
          <w:szCs w:val="28"/>
          <w:lang w:val="en-US" w:eastAsia="zh-CN"/>
        </w:rPr>
        <w:t>2</w:t>
      </w:r>
      <w:r>
        <w:rPr>
          <w:rFonts w:hint="default" w:ascii="Times New Roman" w:hAnsi="Times New Roman" w:eastAsia="仿宋_GB2312" w:cs="Times New Roman"/>
          <w:sz w:val="28"/>
          <w:szCs w:val="28"/>
        </w:rPr>
        <w:t>月</w:t>
      </w:r>
      <w:r>
        <w:rPr>
          <w:rFonts w:hint="eastAsia" w:cs="Times New Roman"/>
          <w:sz w:val="28"/>
          <w:szCs w:val="28"/>
          <w:lang w:val="en-US" w:eastAsia="zh-CN"/>
        </w:rPr>
        <w:t>28</w:t>
      </w:r>
      <w:r>
        <w:rPr>
          <w:rFonts w:hint="default" w:ascii="Times New Roman" w:hAnsi="Times New Roman" w:eastAsia="仿宋_GB2312" w:cs="Times New Roman"/>
          <w:sz w:val="28"/>
          <w:szCs w:val="28"/>
        </w:rPr>
        <w:t>日印发</w:t>
      </w:r>
    </w:p>
    <w:sectPr>
      <w:pgSz w:w="11906" w:h="16838"/>
      <w:pgMar w:top="2098" w:right="1474" w:bottom="1984" w:left="1587" w:header="851" w:footer="1417"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BC336D-3CE6-447F-82B7-315E91320A7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0C7032D-EA87-4AB0-9BD9-D3FD35808FC0}"/>
  </w:font>
  <w:font w:name="仿宋_GB2312">
    <w:panose1 w:val="02010609030101010101"/>
    <w:charset w:val="86"/>
    <w:family w:val="modern"/>
    <w:pitch w:val="default"/>
    <w:sig w:usb0="00000001" w:usb1="080E0000" w:usb2="00000000" w:usb3="00000000" w:csb0="00040000" w:csb1="00000000"/>
    <w:embedRegular r:id="rId3" w:fontKey="{CB3E156F-8E6F-4359-ABE7-0447FB06261B}"/>
  </w:font>
  <w:font w:name="方正小标宋_GBK">
    <w:panose1 w:val="03000509000000000000"/>
    <w:charset w:val="86"/>
    <w:family w:val="auto"/>
    <w:pitch w:val="default"/>
    <w:sig w:usb0="00000001" w:usb1="080E0000" w:usb2="00000000" w:usb3="00000000" w:csb0="00040000" w:csb1="00000000"/>
    <w:embedRegular r:id="rId4" w:fontKey="{5079CF20-6E1C-472B-9898-6879372C89E9}"/>
  </w:font>
  <w:font w:name="Calibri Light">
    <w:panose1 w:val="020F0302020204030204"/>
    <w:charset w:val="00"/>
    <w:family w:val="swiss"/>
    <w:pitch w:val="default"/>
    <w:sig w:usb0="A00002EF" w:usb1="4000207B" w:usb2="00000000" w:usb3="00000000" w:csb0="2000019F" w:csb1="00000000"/>
  </w:font>
  <w:font w:name="Consolas">
    <w:panose1 w:val="020B0609020204030204"/>
    <w:charset w:val="00"/>
    <w:family w:val="auto"/>
    <w:pitch w:val="default"/>
    <w:sig w:usb0="E10002FF" w:usb1="4000FCFF" w:usb2="00000009" w:usb3="00000000" w:csb0="6000019F" w:csb1="DFD7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font-weight : 400">
    <w:altName w:val="Segoe Print"/>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embedRegular r:id="rId5" w:fontKey="{90AF76C2-95F0-4431-8851-8CFF973F061C}"/>
  </w:font>
  <w:font w:name="等线">
    <w:altName w:val="微软雅黑"/>
    <w:panose1 w:val="02010600030101010101"/>
    <w:charset w:val="86"/>
    <w:family w:val="auto"/>
    <w:pitch w:val="default"/>
    <w:sig w:usb0="00000000" w:usb1="00000000" w:usb2="00000016" w:usb3="00000000" w:csb0="0004000F" w:csb1="00000000"/>
    <w:embedRegular r:id="rId6" w:fontKey="{CF8CCA4B-C5F6-4802-93B4-EBBA7ED2DA0E}"/>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0" w:leftChars="0" w:firstLine="0" w:firstLineChars="0"/>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760095"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7600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left="0" w:leftChars="0" w:firstLine="0" w:firstLineChars="0"/>
                            <w:rPr>
                              <w:rFonts w:hint="default" w:eastAsia="仿宋_GB2312"/>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59.85pt;mso-position-horizontal:outside;mso-position-horizontal-relative:margin;z-index:251658240;mso-width-relative:page;mso-height-relative:page;" filled="f" stroked="f" coordsize="21600,21600" o:gfxdata="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AvCMG9QAAAAFAQAADwAAAAAAAAABACAAAAAiAAAAZHJzL2Rvd25yZXYu&#10;eG1sUEsBAhQAFAAAAAgAh07iQJ1bl2k4AgAAYgQAAA4AAAAAAAAAAQAgAAAAIwEAAGRycy9lMm9E&#10;b2MueG1sUEsFBgAAAAAGAAYAWQEAAM0FAAAAAA==&#10;">
              <v:fill on="f" focussize="0,0"/>
              <v:stroke on="f" weight="0.5pt"/>
              <v:imagedata o:title=""/>
              <o:lock v:ext="edit" aspectratio="f"/>
              <v:textbox inset="0mm,0mm,0mm,0mm" style="mso-fit-shape-to-text:t;">
                <w:txbxContent>
                  <w:p>
                    <w:pPr>
                      <w:pStyle w:val="11"/>
                      <w:ind w:left="0" w:leftChars="0" w:firstLine="0" w:firstLineChars="0"/>
                      <w:rPr>
                        <w:rFonts w:hint="default" w:eastAsia="仿宋_GB2312"/>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8"/>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2784297"/>
    <w:rsid w:val="00185437"/>
    <w:rsid w:val="00434FA9"/>
    <w:rsid w:val="00442FDF"/>
    <w:rsid w:val="0053558D"/>
    <w:rsid w:val="0060535F"/>
    <w:rsid w:val="00623CC9"/>
    <w:rsid w:val="0083351F"/>
    <w:rsid w:val="008749E8"/>
    <w:rsid w:val="008C7425"/>
    <w:rsid w:val="009F05DB"/>
    <w:rsid w:val="00A30046"/>
    <w:rsid w:val="00A35A97"/>
    <w:rsid w:val="00BA37CA"/>
    <w:rsid w:val="00C80B89"/>
    <w:rsid w:val="00D23F5D"/>
    <w:rsid w:val="00D66D8C"/>
    <w:rsid w:val="00EF2E69"/>
    <w:rsid w:val="00FE69BC"/>
    <w:rsid w:val="015175B4"/>
    <w:rsid w:val="01887E45"/>
    <w:rsid w:val="02550DB5"/>
    <w:rsid w:val="02862181"/>
    <w:rsid w:val="029B42B1"/>
    <w:rsid w:val="02A16941"/>
    <w:rsid w:val="02A30C1F"/>
    <w:rsid w:val="02BE58E9"/>
    <w:rsid w:val="02DE2944"/>
    <w:rsid w:val="02FB6037"/>
    <w:rsid w:val="03635D6C"/>
    <w:rsid w:val="0366435F"/>
    <w:rsid w:val="037C09BB"/>
    <w:rsid w:val="03C03D9D"/>
    <w:rsid w:val="040B5638"/>
    <w:rsid w:val="048A4AA1"/>
    <w:rsid w:val="04A541C6"/>
    <w:rsid w:val="04DB43AB"/>
    <w:rsid w:val="05012753"/>
    <w:rsid w:val="05A40099"/>
    <w:rsid w:val="06D21BA1"/>
    <w:rsid w:val="07313432"/>
    <w:rsid w:val="074320DF"/>
    <w:rsid w:val="07A02EC4"/>
    <w:rsid w:val="07D5200F"/>
    <w:rsid w:val="07F1057F"/>
    <w:rsid w:val="08943185"/>
    <w:rsid w:val="08981735"/>
    <w:rsid w:val="08A11A3D"/>
    <w:rsid w:val="08EA5BB0"/>
    <w:rsid w:val="0966669A"/>
    <w:rsid w:val="097F0DAA"/>
    <w:rsid w:val="09B0442A"/>
    <w:rsid w:val="09B34E3D"/>
    <w:rsid w:val="0A6421B7"/>
    <w:rsid w:val="0B630986"/>
    <w:rsid w:val="0BA27F42"/>
    <w:rsid w:val="0C3C0259"/>
    <w:rsid w:val="0C6E5CA1"/>
    <w:rsid w:val="0CE0714E"/>
    <w:rsid w:val="0CF47245"/>
    <w:rsid w:val="0E5F16EA"/>
    <w:rsid w:val="0EB17D51"/>
    <w:rsid w:val="0F384282"/>
    <w:rsid w:val="0FC637C0"/>
    <w:rsid w:val="0FF5288E"/>
    <w:rsid w:val="11033CB0"/>
    <w:rsid w:val="116E68BB"/>
    <w:rsid w:val="117E0326"/>
    <w:rsid w:val="11FD5830"/>
    <w:rsid w:val="1211104C"/>
    <w:rsid w:val="12DD6B2F"/>
    <w:rsid w:val="12F74330"/>
    <w:rsid w:val="130F2D87"/>
    <w:rsid w:val="135A0B91"/>
    <w:rsid w:val="135C42D2"/>
    <w:rsid w:val="13A37818"/>
    <w:rsid w:val="13B52DFB"/>
    <w:rsid w:val="13BA788D"/>
    <w:rsid w:val="14512341"/>
    <w:rsid w:val="14B87A76"/>
    <w:rsid w:val="14E82286"/>
    <w:rsid w:val="15B2319F"/>
    <w:rsid w:val="15B63AB3"/>
    <w:rsid w:val="15BB542D"/>
    <w:rsid w:val="160031E2"/>
    <w:rsid w:val="161159E8"/>
    <w:rsid w:val="16AB092C"/>
    <w:rsid w:val="16C51974"/>
    <w:rsid w:val="16C65F38"/>
    <w:rsid w:val="17344BF0"/>
    <w:rsid w:val="17501833"/>
    <w:rsid w:val="17703AAF"/>
    <w:rsid w:val="17AF5175"/>
    <w:rsid w:val="17BC6D21"/>
    <w:rsid w:val="188678E5"/>
    <w:rsid w:val="19B2095B"/>
    <w:rsid w:val="19D25584"/>
    <w:rsid w:val="1A331F9B"/>
    <w:rsid w:val="1ABA3BFA"/>
    <w:rsid w:val="1AC30182"/>
    <w:rsid w:val="1AC460FA"/>
    <w:rsid w:val="1AFE785E"/>
    <w:rsid w:val="1B4D234C"/>
    <w:rsid w:val="1B673D12"/>
    <w:rsid w:val="1B846597"/>
    <w:rsid w:val="1B8B4568"/>
    <w:rsid w:val="1D1A1F03"/>
    <w:rsid w:val="1D281CEF"/>
    <w:rsid w:val="1D5B0F63"/>
    <w:rsid w:val="1DB67BAC"/>
    <w:rsid w:val="1DCC14C8"/>
    <w:rsid w:val="1F544FE4"/>
    <w:rsid w:val="1F9F098F"/>
    <w:rsid w:val="1FBA213B"/>
    <w:rsid w:val="1FFE4A21"/>
    <w:rsid w:val="204840E8"/>
    <w:rsid w:val="205C68F5"/>
    <w:rsid w:val="207210D5"/>
    <w:rsid w:val="20A0175B"/>
    <w:rsid w:val="21EF423E"/>
    <w:rsid w:val="231A06A9"/>
    <w:rsid w:val="232B7E3E"/>
    <w:rsid w:val="23430694"/>
    <w:rsid w:val="234D4D7F"/>
    <w:rsid w:val="236478FB"/>
    <w:rsid w:val="23EC08FB"/>
    <w:rsid w:val="23FE2A9B"/>
    <w:rsid w:val="2407259B"/>
    <w:rsid w:val="246E2F6D"/>
    <w:rsid w:val="2493241D"/>
    <w:rsid w:val="249E4596"/>
    <w:rsid w:val="24B5695D"/>
    <w:rsid w:val="24D7728D"/>
    <w:rsid w:val="24D84604"/>
    <w:rsid w:val="25143C19"/>
    <w:rsid w:val="25376D5E"/>
    <w:rsid w:val="25797980"/>
    <w:rsid w:val="25A100E5"/>
    <w:rsid w:val="25D65700"/>
    <w:rsid w:val="27011AAC"/>
    <w:rsid w:val="270D457C"/>
    <w:rsid w:val="27156C1E"/>
    <w:rsid w:val="274D3989"/>
    <w:rsid w:val="279B1A8A"/>
    <w:rsid w:val="280A0FD0"/>
    <w:rsid w:val="28E32E00"/>
    <w:rsid w:val="29215DBB"/>
    <w:rsid w:val="29234C53"/>
    <w:rsid w:val="299261DF"/>
    <w:rsid w:val="29AE505E"/>
    <w:rsid w:val="2A4E1D16"/>
    <w:rsid w:val="2B071961"/>
    <w:rsid w:val="2BF2561F"/>
    <w:rsid w:val="2C0E0EC8"/>
    <w:rsid w:val="2C510020"/>
    <w:rsid w:val="2D526339"/>
    <w:rsid w:val="2DAE2883"/>
    <w:rsid w:val="2DFF7A34"/>
    <w:rsid w:val="2E15215E"/>
    <w:rsid w:val="2E234735"/>
    <w:rsid w:val="2E7C1B20"/>
    <w:rsid w:val="2EC550DC"/>
    <w:rsid w:val="2EF24DE6"/>
    <w:rsid w:val="2F9575B9"/>
    <w:rsid w:val="2FE30B85"/>
    <w:rsid w:val="30171A9B"/>
    <w:rsid w:val="305F070F"/>
    <w:rsid w:val="307F43AC"/>
    <w:rsid w:val="30C538E3"/>
    <w:rsid w:val="30D002B6"/>
    <w:rsid w:val="311F322E"/>
    <w:rsid w:val="31361AA5"/>
    <w:rsid w:val="31BF3E69"/>
    <w:rsid w:val="320F4253"/>
    <w:rsid w:val="32DE5AD6"/>
    <w:rsid w:val="32DF2D05"/>
    <w:rsid w:val="32F226A4"/>
    <w:rsid w:val="32F82AAB"/>
    <w:rsid w:val="33354282"/>
    <w:rsid w:val="333C65DD"/>
    <w:rsid w:val="335C273A"/>
    <w:rsid w:val="33B7671F"/>
    <w:rsid w:val="33BE6B8B"/>
    <w:rsid w:val="33E8200F"/>
    <w:rsid w:val="340E49D0"/>
    <w:rsid w:val="342F3EF1"/>
    <w:rsid w:val="345725F8"/>
    <w:rsid w:val="3492081D"/>
    <w:rsid w:val="34AE33CE"/>
    <w:rsid w:val="34C472AD"/>
    <w:rsid w:val="34E164C5"/>
    <w:rsid w:val="351C30AC"/>
    <w:rsid w:val="355A0925"/>
    <w:rsid w:val="36AA1A12"/>
    <w:rsid w:val="36D20AB3"/>
    <w:rsid w:val="36FF3742"/>
    <w:rsid w:val="37150637"/>
    <w:rsid w:val="371E17B3"/>
    <w:rsid w:val="372538D1"/>
    <w:rsid w:val="37330213"/>
    <w:rsid w:val="37474023"/>
    <w:rsid w:val="37F0568D"/>
    <w:rsid w:val="382E59A8"/>
    <w:rsid w:val="38DE56D4"/>
    <w:rsid w:val="38E41486"/>
    <w:rsid w:val="38E44CCB"/>
    <w:rsid w:val="394405CC"/>
    <w:rsid w:val="3A004308"/>
    <w:rsid w:val="3A9A772B"/>
    <w:rsid w:val="3B1D1C27"/>
    <w:rsid w:val="3BC25181"/>
    <w:rsid w:val="3C540FF4"/>
    <w:rsid w:val="3C542106"/>
    <w:rsid w:val="3C703FDA"/>
    <w:rsid w:val="3C877BFE"/>
    <w:rsid w:val="3CB27502"/>
    <w:rsid w:val="3CFD749B"/>
    <w:rsid w:val="3DC13989"/>
    <w:rsid w:val="3EA573D7"/>
    <w:rsid w:val="3F0D2339"/>
    <w:rsid w:val="3F57790D"/>
    <w:rsid w:val="3FCD0602"/>
    <w:rsid w:val="400543F4"/>
    <w:rsid w:val="40380099"/>
    <w:rsid w:val="40B0467A"/>
    <w:rsid w:val="40B7528C"/>
    <w:rsid w:val="40C353FB"/>
    <w:rsid w:val="41C0305F"/>
    <w:rsid w:val="421A349F"/>
    <w:rsid w:val="421E05BA"/>
    <w:rsid w:val="425E560A"/>
    <w:rsid w:val="42784297"/>
    <w:rsid w:val="429D605D"/>
    <w:rsid w:val="429F37AB"/>
    <w:rsid w:val="42A1330B"/>
    <w:rsid w:val="43552960"/>
    <w:rsid w:val="4428604C"/>
    <w:rsid w:val="44C14686"/>
    <w:rsid w:val="44E018E2"/>
    <w:rsid w:val="44E8347F"/>
    <w:rsid w:val="452C1BDC"/>
    <w:rsid w:val="45900486"/>
    <w:rsid w:val="4598079A"/>
    <w:rsid w:val="459E4BF1"/>
    <w:rsid w:val="45E95185"/>
    <w:rsid w:val="46493557"/>
    <w:rsid w:val="465B4F3C"/>
    <w:rsid w:val="469817D6"/>
    <w:rsid w:val="46A50C15"/>
    <w:rsid w:val="46F674B3"/>
    <w:rsid w:val="47053444"/>
    <w:rsid w:val="477073CD"/>
    <w:rsid w:val="477F7856"/>
    <w:rsid w:val="478157CE"/>
    <w:rsid w:val="47973F1D"/>
    <w:rsid w:val="47A823D1"/>
    <w:rsid w:val="47E00841"/>
    <w:rsid w:val="483757A7"/>
    <w:rsid w:val="483C440C"/>
    <w:rsid w:val="48470F8F"/>
    <w:rsid w:val="489141FC"/>
    <w:rsid w:val="48EF3FB1"/>
    <w:rsid w:val="49143485"/>
    <w:rsid w:val="492E44E2"/>
    <w:rsid w:val="4934723E"/>
    <w:rsid w:val="49496489"/>
    <w:rsid w:val="49F2770F"/>
    <w:rsid w:val="4A065D5A"/>
    <w:rsid w:val="4A1F68AF"/>
    <w:rsid w:val="4A387403"/>
    <w:rsid w:val="4B235DD7"/>
    <w:rsid w:val="4B880A8D"/>
    <w:rsid w:val="4BC33263"/>
    <w:rsid w:val="4BC44997"/>
    <w:rsid w:val="4DA57CD3"/>
    <w:rsid w:val="4DFE6588"/>
    <w:rsid w:val="4E6C4EE2"/>
    <w:rsid w:val="4EA13BB9"/>
    <w:rsid w:val="4EF72071"/>
    <w:rsid w:val="4F386C9E"/>
    <w:rsid w:val="4F6D1A19"/>
    <w:rsid w:val="50194E76"/>
    <w:rsid w:val="502F636F"/>
    <w:rsid w:val="50706543"/>
    <w:rsid w:val="50D63B3C"/>
    <w:rsid w:val="512F34E4"/>
    <w:rsid w:val="51562873"/>
    <w:rsid w:val="51936409"/>
    <w:rsid w:val="51B62C00"/>
    <w:rsid w:val="520F7CA1"/>
    <w:rsid w:val="522C08F6"/>
    <w:rsid w:val="52795D32"/>
    <w:rsid w:val="531E5CD6"/>
    <w:rsid w:val="53514475"/>
    <w:rsid w:val="53531E2C"/>
    <w:rsid w:val="547248EB"/>
    <w:rsid w:val="54B9762A"/>
    <w:rsid w:val="55343F1F"/>
    <w:rsid w:val="55D8541B"/>
    <w:rsid w:val="56A55AE6"/>
    <w:rsid w:val="56EF6039"/>
    <w:rsid w:val="57002360"/>
    <w:rsid w:val="570F1A86"/>
    <w:rsid w:val="573F50BE"/>
    <w:rsid w:val="57610EC3"/>
    <w:rsid w:val="57943E73"/>
    <w:rsid w:val="582452E7"/>
    <w:rsid w:val="58247E5E"/>
    <w:rsid w:val="5855489C"/>
    <w:rsid w:val="590D0072"/>
    <w:rsid w:val="59832777"/>
    <w:rsid w:val="59B278A4"/>
    <w:rsid w:val="5A445AF1"/>
    <w:rsid w:val="5A46224C"/>
    <w:rsid w:val="5AAA0BA1"/>
    <w:rsid w:val="5ADD1D88"/>
    <w:rsid w:val="5B3C62EE"/>
    <w:rsid w:val="5B575498"/>
    <w:rsid w:val="5B7E0A9C"/>
    <w:rsid w:val="5C6D60DE"/>
    <w:rsid w:val="5CA857C5"/>
    <w:rsid w:val="5CBF4B62"/>
    <w:rsid w:val="5DE77E61"/>
    <w:rsid w:val="5DF70225"/>
    <w:rsid w:val="5E526C50"/>
    <w:rsid w:val="5EAB3E7B"/>
    <w:rsid w:val="5EB74694"/>
    <w:rsid w:val="5F4C495A"/>
    <w:rsid w:val="5F8564BF"/>
    <w:rsid w:val="5FD06C95"/>
    <w:rsid w:val="60BA69B8"/>
    <w:rsid w:val="60DD3CD4"/>
    <w:rsid w:val="61112A78"/>
    <w:rsid w:val="618448D4"/>
    <w:rsid w:val="619A78F1"/>
    <w:rsid w:val="61C97E3F"/>
    <w:rsid w:val="61E94D6C"/>
    <w:rsid w:val="62B0435B"/>
    <w:rsid w:val="62D1281B"/>
    <w:rsid w:val="631104D8"/>
    <w:rsid w:val="632A7E76"/>
    <w:rsid w:val="632D287D"/>
    <w:rsid w:val="638241D2"/>
    <w:rsid w:val="641E26D7"/>
    <w:rsid w:val="6477576F"/>
    <w:rsid w:val="64862513"/>
    <w:rsid w:val="6510586F"/>
    <w:rsid w:val="654350FE"/>
    <w:rsid w:val="65470C6A"/>
    <w:rsid w:val="65EA75E4"/>
    <w:rsid w:val="660763B0"/>
    <w:rsid w:val="6677779F"/>
    <w:rsid w:val="667C3224"/>
    <w:rsid w:val="66880A41"/>
    <w:rsid w:val="669B2FC5"/>
    <w:rsid w:val="66CC2FC5"/>
    <w:rsid w:val="67171D31"/>
    <w:rsid w:val="67423FC0"/>
    <w:rsid w:val="677D58B6"/>
    <w:rsid w:val="67B86D93"/>
    <w:rsid w:val="68114E93"/>
    <w:rsid w:val="681A2503"/>
    <w:rsid w:val="690C2049"/>
    <w:rsid w:val="699F5A37"/>
    <w:rsid w:val="6A1B1318"/>
    <w:rsid w:val="6A2020FB"/>
    <w:rsid w:val="6A7E0A26"/>
    <w:rsid w:val="6A8D35F7"/>
    <w:rsid w:val="6A8E1D67"/>
    <w:rsid w:val="6AC62CF7"/>
    <w:rsid w:val="6B303711"/>
    <w:rsid w:val="6B8A16EC"/>
    <w:rsid w:val="6B94236D"/>
    <w:rsid w:val="6C5E0A95"/>
    <w:rsid w:val="6CF217D4"/>
    <w:rsid w:val="6CF40E03"/>
    <w:rsid w:val="6D231C04"/>
    <w:rsid w:val="6E310583"/>
    <w:rsid w:val="6EAB3A73"/>
    <w:rsid w:val="6ECC4FFA"/>
    <w:rsid w:val="702322EF"/>
    <w:rsid w:val="704965AF"/>
    <w:rsid w:val="7060653D"/>
    <w:rsid w:val="706D2B21"/>
    <w:rsid w:val="7074517E"/>
    <w:rsid w:val="70D144B9"/>
    <w:rsid w:val="71582468"/>
    <w:rsid w:val="71A7283C"/>
    <w:rsid w:val="71F23BDE"/>
    <w:rsid w:val="71FB7453"/>
    <w:rsid w:val="72461FF7"/>
    <w:rsid w:val="72C14539"/>
    <w:rsid w:val="72FD505D"/>
    <w:rsid w:val="73304DCC"/>
    <w:rsid w:val="736E25DE"/>
    <w:rsid w:val="73923BC0"/>
    <w:rsid w:val="73D77D55"/>
    <w:rsid w:val="74827483"/>
    <w:rsid w:val="74A04CC2"/>
    <w:rsid w:val="74C82B4E"/>
    <w:rsid w:val="7559346C"/>
    <w:rsid w:val="75A47FD6"/>
    <w:rsid w:val="75AB1F6F"/>
    <w:rsid w:val="75BE564E"/>
    <w:rsid w:val="75D30CCC"/>
    <w:rsid w:val="76593360"/>
    <w:rsid w:val="76802AE3"/>
    <w:rsid w:val="76B837F1"/>
    <w:rsid w:val="77270D07"/>
    <w:rsid w:val="77682E39"/>
    <w:rsid w:val="7786202E"/>
    <w:rsid w:val="77AD5C24"/>
    <w:rsid w:val="77FB3BEE"/>
    <w:rsid w:val="78147BFA"/>
    <w:rsid w:val="78EE6A83"/>
    <w:rsid w:val="79A65137"/>
    <w:rsid w:val="7A1E4AAB"/>
    <w:rsid w:val="7A752663"/>
    <w:rsid w:val="7ACB0DAA"/>
    <w:rsid w:val="7C02664A"/>
    <w:rsid w:val="7C533D29"/>
    <w:rsid w:val="7C8D3BF7"/>
    <w:rsid w:val="7D2A26EB"/>
    <w:rsid w:val="7D7422BF"/>
    <w:rsid w:val="7D9C4AED"/>
    <w:rsid w:val="7E2C4E2F"/>
    <w:rsid w:val="7E870653"/>
    <w:rsid w:val="7E8A0771"/>
    <w:rsid w:val="7F077B28"/>
    <w:rsid w:val="7F24574F"/>
    <w:rsid w:val="7F5E3446"/>
    <w:rsid w:val="7FF71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仿宋_GB2312"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50" w:lineRule="exact"/>
      <w:ind w:firstLine="482" w:firstLineChars="200"/>
      <w:jc w:val="both"/>
    </w:pPr>
    <w:rPr>
      <w:rFonts w:ascii="Times New Roman" w:hAnsi="Times New Roman" w:eastAsia="仿宋_GB2312" w:cstheme="minorBidi"/>
      <w:snapToGrid w:val="0"/>
      <w:kern w:val="0"/>
      <w:sz w:val="32"/>
      <w:szCs w:val="32"/>
      <w:lang w:val="en-US" w:eastAsia="zh-CN" w:bidi="ar-SA"/>
    </w:rPr>
  </w:style>
  <w:style w:type="paragraph" w:styleId="2">
    <w:name w:val="heading 1"/>
    <w:next w:val="1"/>
    <w:qFormat/>
    <w:uiPriority w:val="9"/>
    <w:pPr>
      <w:keepNext/>
      <w:keepLines/>
      <w:adjustRightInd w:val="0"/>
      <w:snapToGrid w:val="0"/>
      <w:spacing w:line="550" w:lineRule="exact"/>
      <w:ind w:firstLine="0" w:firstLineChars="0"/>
      <w:jc w:val="center"/>
      <w:outlineLvl w:val="0"/>
    </w:pPr>
    <w:rPr>
      <w:rFonts w:ascii="Times New Roman" w:hAnsi="Times New Roman" w:eastAsia="方正小标宋_GBK" w:cs="Times New Roman"/>
      <w:kern w:val="44"/>
      <w:sz w:val="44"/>
      <w:szCs w:val="44"/>
    </w:rPr>
  </w:style>
  <w:style w:type="paragraph" w:styleId="3">
    <w:name w:val="heading 2"/>
    <w:basedOn w:val="1"/>
    <w:next w:val="1"/>
    <w:unhideWhenUsed/>
    <w:qFormat/>
    <w:uiPriority w:val="9"/>
    <w:pPr>
      <w:keepNext/>
      <w:keepLines/>
      <w:spacing w:before="140" w:after="140" w:line="416" w:lineRule="auto"/>
      <w:jc w:val="center"/>
      <w:outlineLvl w:val="1"/>
    </w:pPr>
    <w:rPr>
      <w:rFonts w:ascii="Calibri Light" w:hAnsi="Calibri Light" w:eastAsia="黑体" w:cs="Times New Roman"/>
      <w:b/>
      <w:bCs/>
      <w:sz w:val="30"/>
      <w:szCs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680"/>
    </w:pPr>
  </w:style>
  <w:style w:type="paragraph" w:styleId="6">
    <w:name w:val="annotation text"/>
    <w:basedOn w:val="1"/>
    <w:qFormat/>
    <w:uiPriority w:val="0"/>
    <w:pPr>
      <w:jc w:val="left"/>
    </w:pPr>
  </w:style>
  <w:style w:type="paragraph" w:styleId="7">
    <w:name w:val="Salutation"/>
    <w:basedOn w:val="1"/>
    <w:next w:val="1"/>
    <w:qFormat/>
    <w:uiPriority w:val="0"/>
    <w:rPr>
      <w:rFonts w:ascii="Calibri" w:hAnsi="Calibri" w:eastAsia="宋体" w:cs="Times New Roman"/>
      <w:lang w:val="en-US" w:eastAsia="zh-CN" w:bidi="ar-SA"/>
    </w:rPr>
  </w:style>
  <w:style w:type="paragraph" w:styleId="8">
    <w:name w:val="Body Text"/>
    <w:basedOn w:val="1"/>
    <w:qFormat/>
    <w:uiPriority w:val="0"/>
  </w:style>
  <w:style w:type="paragraph" w:styleId="9">
    <w:name w:val="Body Text Indent"/>
    <w:basedOn w:val="1"/>
    <w:unhideWhenUsed/>
    <w:qFormat/>
    <w:uiPriority w:val="99"/>
    <w:pPr>
      <w:ind w:firstLine="630"/>
    </w:pPr>
    <w:rPr>
      <w:rFonts w:ascii="仿宋_GB2312" w:eastAsia="仿宋_GB2312"/>
      <w:sz w:val="32"/>
    </w:rPr>
  </w:style>
  <w:style w:type="paragraph" w:styleId="10">
    <w:name w:val="Date"/>
    <w:basedOn w:val="1"/>
    <w:next w:val="1"/>
    <w:qFormat/>
    <w:uiPriority w:val="0"/>
    <w:rPr>
      <w:snapToGrid w:val="0"/>
      <w:kern w:val="0"/>
    </w:rPr>
  </w:style>
  <w:style w:type="paragraph" w:styleId="11">
    <w:name w:val="footer"/>
    <w:basedOn w:val="1"/>
    <w:link w:val="34"/>
    <w:qFormat/>
    <w:uiPriority w:val="0"/>
    <w:pPr>
      <w:tabs>
        <w:tab w:val="center" w:pos="4153"/>
        <w:tab w:val="right" w:pos="8306"/>
      </w:tabs>
      <w:snapToGrid w:val="0"/>
      <w:jc w:val="left"/>
    </w:pPr>
    <w:rPr>
      <w:sz w:val="18"/>
      <w:szCs w:val="18"/>
    </w:rPr>
  </w:style>
  <w:style w:type="paragraph" w:styleId="12">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footnote text"/>
    <w:basedOn w:val="1"/>
    <w:qFormat/>
    <w:uiPriority w:val="0"/>
    <w:pPr>
      <w:snapToGrid w:val="0"/>
      <w:jc w:val="left"/>
    </w:pPr>
    <w:rPr>
      <w:sz w:val="18"/>
      <w:szCs w:val="18"/>
    </w:rPr>
  </w:style>
  <w:style w:type="paragraph" w:styleId="1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rPr>
  </w:style>
  <w:style w:type="paragraph" w:styleId="16">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17">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character" w:styleId="22">
    <w:name w:val="page number"/>
    <w:basedOn w:val="20"/>
    <w:qFormat/>
    <w:uiPriority w:val="0"/>
  </w:style>
  <w:style w:type="character" w:styleId="23">
    <w:name w:val="FollowedHyperlink"/>
    <w:basedOn w:val="20"/>
    <w:qFormat/>
    <w:uiPriority w:val="0"/>
    <w:rPr>
      <w:color w:val="4D7AD8"/>
      <w:u w:val="none"/>
    </w:rPr>
  </w:style>
  <w:style w:type="character" w:styleId="24">
    <w:name w:val="HTML Definition"/>
    <w:basedOn w:val="20"/>
    <w:qFormat/>
    <w:uiPriority w:val="0"/>
    <w:rPr>
      <w:i/>
      <w:bdr w:val="single" w:color="CCCCCC" w:sz="6" w:space="0"/>
      <w:shd w:val="clear" w:fill="CCCCCC"/>
    </w:rPr>
  </w:style>
  <w:style w:type="character" w:styleId="25">
    <w:name w:val="Hyperlink"/>
    <w:basedOn w:val="20"/>
    <w:qFormat/>
    <w:uiPriority w:val="0"/>
    <w:rPr>
      <w:color w:val="4D7AD8"/>
      <w:u w:val="none"/>
    </w:rPr>
  </w:style>
  <w:style w:type="character" w:styleId="26">
    <w:name w:val="HTML Code"/>
    <w:basedOn w:val="20"/>
    <w:qFormat/>
    <w:uiPriority w:val="0"/>
    <w:rPr>
      <w:rFonts w:ascii="Consolas" w:hAnsi="Consolas" w:eastAsia="Consolas" w:cs="Consolas"/>
      <w:sz w:val="21"/>
      <w:szCs w:val="21"/>
    </w:rPr>
  </w:style>
  <w:style w:type="character" w:styleId="27">
    <w:name w:val="annotation reference"/>
    <w:basedOn w:val="20"/>
    <w:qFormat/>
    <w:uiPriority w:val="0"/>
    <w:rPr>
      <w:sz w:val="21"/>
      <w:szCs w:val="21"/>
    </w:rPr>
  </w:style>
  <w:style w:type="character" w:styleId="28">
    <w:name w:val="footnote reference"/>
    <w:basedOn w:val="20"/>
    <w:qFormat/>
    <w:uiPriority w:val="0"/>
    <w:rPr>
      <w:vertAlign w:val="superscript"/>
    </w:rPr>
  </w:style>
  <w:style w:type="character" w:styleId="29">
    <w:name w:val="HTML Keyboard"/>
    <w:basedOn w:val="20"/>
    <w:qFormat/>
    <w:uiPriority w:val="0"/>
    <w:rPr>
      <w:rFonts w:hint="default" w:ascii="Consolas" w:hAnsi="Consolas" w:eastAsia="Consolas" w:cs="Consolas"/>
      <w:sz w:val="21"/>
      <w:szCs w:val="21"/>
    </w:rPr>
  </w:style>
  <w:style w:type="character" w:styleId="30">
    <w:name w:val="HTML Sample"/>
    <w:basedOn w:val="20"/>
    <w:qFormat/>
    <w:uiPriority w:val="0"/>
    <w:rPr>
      <w:rFonts w:hint="default" w:ascii="Consolas" w:hAnsi="Consolas" w:eastAsia="Consolas" w:cs="Consolas"/>
      <w:sz w:val="21"/>
      <w:szCs w:val="21"/>
    </w:rPr>
  </w:style>
  <w:style w:type="paragraph" w:customStyle="1" w:styleId="31">
    <w:name w:val="可表头"/>
    <w:qFormat/>
    <w:uiPriority w:val="99"/>
    <w:pPr>
      <w:widowControl w:val="0"/>
      <w:autoSpaceDE w:val="0"/>
      <w:autoSpaceDN w:val="0"/>
      <w:adjustRightInd w:val="0"/>
      <w:spacing w:afterLines="0" w:line="360" w:lineRule="auto"/>
      <w:ind w:firstLine="0" w:firstLineChars="0"/>
      <w:jc w:val="center"/>
    </w:pPr>
    <w:rPr>
      <w:rFonts w:ascii="宋体" w:hAnsi="宋体" w:eastAsia="宋体" w:cs="宋体"/>
      <w:b/>
      <w:bCs/>
      <w:kern w:val="2"/>
      <w:sz w:val="24"/>
      <w:szCs w:val="24"/>
      <w:lang w:val="zh-CN" w:eastAsia="zh-CN" w:bidi="ar-SA"/>
    </w:rPr>
  </w:style>
  <w:style w:type="paragraph" w:customStyle="1" w:styleId="32">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33">
    <w:name w:val="页眉 字符"/>
    <w:basedOn w:val="20"/>
    <w:link w:val="12"/>
    <w:qFormat/>
    <w:uiPriority w:val="0"/>
    <w:rPr>
      <w:rFonts w:asciiTheme="minorHAnsi" w:hAnsiTheme="minorHAnsi" w:eastAsiaTheme="minorEastAsia" w:cstheme="minorBidi"/>
      <w:kern w:val="2"/>
      <w:sz w:val="18"/>
      <w:szCs w:val="18"/>
    </w:rPr>
  </w:style>
  <w:style w:type="character" w:customStyle="1" w:styleId="34">
    <w:name w:val="页脚 字符"/>
    <w:basedOn w:val="20"/>
    <w:link w:val="11"/>
    <w:qFormat/>
    <w:uiPriority w:val="0"/>
    <w:rPr>
      <w:rFonts w:asciiTheme="minorHAnsi" w:hAnsiTheme="minorHAnsi" w:eastAsiaTheme="minorEastAsia" w:cstheme="minorBidi"/>
      <w:kern w:val="2"/>
      <w:sz w:val="18"/>
      <w:szCs w:val="18"/>
    </w:rPr>
  </w:style>
  <w:style w:type="paragraph" w:styleId="35">
    <w:name w:val="List Paragraph"/>
    <w:basedOn w:val="1"/>
    <w:qFormat/>
    <w:uiPriority w:val="99"/>
    <w:pPr>
      <w:ind w:firstLine="420" w:firstLineChars="200"/>
    </w:pPr>
  </w:style>
  <w:style w:type="paragraph" w:customStyle="1" w:styleId="36">
    <w:name w:val="s4"/>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37">
    <w:name w:val="s3"/>
    <w:basedOn w:val="20"/>
    <w:qFormat/>
    <w:uiPriority w:val="99"/>
  </w:style>
  <w:style w:type="paragraph" w:customStyle="1" w:styleId="38">
    <w:name w:val="列出段落1"/>
    <w:basedOn w:val="1"/>
    <w:qFormat/>
    <w:uiPriority w:val="99"/>
    <w:pPr>
      <w:ind w:firstLine="420" w:firstLineChars="200"/>
    </w:pPr>
    <w:rPr>
      <w:rFonts w:cs="Times New Roman"/>
      <w:szCs w:val="24"/>
    </w:rPr>
  </w:style>
  <w:style w:type="paragraph" w:customStyle="1" w:styleId="39">
    <w:name w:val="p0"/>
    <w:basedOn w:val="1"/>
    <w:qFormat/>
    <w:uiPriority w:val="0"/>
    <w:pPr>
      <w:widowControl/>
    </w:pPr>
    <w:rPr>
      <w:rFonts w:ascii="宋体" w:hAnsi="宋体" w:cs="宋体"/>
      <w:kern w:val="0"/>
      <w:szCs w:val="21"/>
    </w:rPr>
  </w:style>
  <w:style w:type="character" w:customStyle="1" w:styleId="40">
    <w:name w:val="NormalCharacter"/>
    <w:semiHidden/>
    <w:qFormat/>
    <w:uiPriority w:val="0"/>
    <w:rPr>
      <w:rFonts w:ascii="Calibri" w:hAnsi="Calibri" w:eastAsia="宋体" w:cs="Times New Roman"/>
      <w:kern w:val="2"/>
      <w:sz w:val="21"/>
      <w:szCs w:val="24"/>
      <w:lang w:val="en-US" w:eastAsia="zh-CN" w:bidi="ar-SA"/>
    </w:rPr>
  </w:style>
  <w:style w:type="paragraph" w:customStyle="1" w:styleId="41">
    <w:name w:val="彩色列表1"/>
    <w:basedOn w:val="1"/>
    <w:qFormat/>
    <w:uiPriority w:val="34"/>
    <w:pPr>
      <w:ind w:firstLine="420" w:firstLineChars="200"/>
    </w:pPr>
  </w:style>
  <w:style w:type="paragraph" w:customStyle="1" w:styleId="42">
    <w:name w:val="WPSOffice手动目录 1"/>
    <w:qFormat/>
    <w:uiPriority w:val="0"/>
    <w:rPr>
      <w:rFonts w:ascii="Times New Roman" w:hAnsi="Times New Roman" w:eastAsia="宋体" w:cs="Times New Roman"/>
      <w:lang w:val="en-US" w:eastAsia="zh-CN" w:bidi="ar-SA"/>
    </w:rPr>
  </w:style>
  <w:style w:type="paragraph" w:customStyle="1" w:styleId="43">
    <w:name w:val="正式文档"/>
    <w:basedOn w:val="1"/>
    <w:qFormat/>
    <w:uiPriority w:val="0"/>
    <w:pPr>
      <w:ind w:firstLine="420"/>
    </w:pPr>
    <w:rPr>
      <w:rFonts w:ascii="Times New Roman" w:hAnsi="Times New Roman"/>
      <w:sz w:val="32"/>
    </w:rPr>
  </w:style>
  <w:style w:type="paragraph" w:customStyle="1" w:styleId="44">
    <w:name w:val="标题1A"/>
    <w:basedOn w:val="1"/>
    <w:qFormat/>
    <w:uiPriority w:val="0"/>
    <w:pPr>
      <w:keepNext/>
      <w:keepLines/>
      <w:ind w:firstLine="0" w:firstLineChars="0"/>
      <w:jc w:val="center"/>
      <w:outlineLvl w:val="0"/>
    </w:pPr>
    <w:rPr>
      <w:rFonts w:ascii="等线 Light" w:hAnsi="等线 Light" w:eastAsia="等线 Light"/>
      <w:b/>
      <w:sz w:val="44"/>
    </w:rPr>
  </w:style>
  <w:style w:type="character" w:customStyle="1" w:styleId="45">
    <w:name w:val="ant-select-tree-checkbox"/>
    <w:basedOn w:val="20"/>
    <w:qFormat/>
    <w:uiPriority w:val="0"/>
  </w:style>
  <w:style w:type="character" w:customStyle="1" w:styleId="46">
    <w:name w:val="ant-tree-iconele"/>
    <w:basedOn w:val="20"/>
    <w:qFormat/>
    <w:uiPriority w:val="0"/>
  </w:style>
  <w:style w:type="character" w:customStyle="1" w:styleId="47">
    <w:name w:val="ant-tree-switcher"/>
    <w:basedOn w:val="20"/>
    <w:qFormat/>
    <w:uiPriority w:val="0"/>
  </w:style>
  <w:style w:type="character" w:customStyle="1" w:styleId="48">
    <w:name w:val="ant-tree-checkbox6"/>
    <w:basedOn w:val="20"/>
    <w:qFormat/>
    <w:uiPriority w:val="0"/>
  </w:style>
  <w:style w:type="character" w:customStyle="1" w:styleId="49">
    <w:name w:val="current-node"/>
    <w:basedOn w:val="20"/>
    <w:qFormat/>
    <w:uiPriority w:val="0"/>
    <w:rPr>
      <w:bdr w:val="single" w:color="F5B87B" w:sz="6" w:space="0"/>
      <w:shd w:val="clear" w:fill="FFE8CC"/>
    </w:rPr>
  </w:style>
  <w:style w:type="character" w:customStyle="1" w:styleId="50">
    <w:name w:val="ant-radio+*"/>
    <w:basedOn w:val="20"/>
    <w:qFormat/>
    <w:uiPriority w:val="0"/>
  </w:style>
  <w:style w:type="character" w:customStyle="1" w:styleId="51">
    <w:name w:val="button"/>
    <w:basedOn w:val="20"/>
    <w:qFormat/>
    <w:uiPriority w:val="0"/>
  </w:style>
  <w:style w:type="character" w:customStyle="1" w:styleId="52">
    <w:name w:val="button1"/>
    <w:basedOn w:val="20"/>
    <w:qFormat/>
    <w:uiPriority w:val="0"/>
  </w:style>
  <w:style w:type="character" w:customStyle="1" w:styleId="53">
    <w:name w:val="passed-node"/>
    <w:basedOn w:val="20"/>
    <w:qFormat/>
    <w:uiPriority w:val="0"/>
    <w:rPr>
      <w:bdr w:val="single" w:color="49A8D4" w:sz="6" w:space="0"/>
      <w:shd w:val="clear" w:fill="A9E3FF"/>
    </w:rPr>
  </w:style>
  <w:style w:type="character" w:customStyle="1" w:styleId="54">
    <w:name w:val="not-pass-node"/>
    <w:basedOn w:val="20"/>
    <w:qFormat/>
    <w:uiPriority w:val="0"/>
    <w:rPr>
      <w:bdr w:val="single" w:color="5ABD6B" w:sz="6" w:space="0"/>
      <w:shd w:val="clear" w:fill="BFF3C3"/>
    </w:rPr>
  </w:style>
  <w:style w:type="character" w:customStyle="1" w:styleId="55">
    <w:name w:val="auto-pass-node"/>
    <w:basedOn w:val="20"/>
    <w:qFormat/>
    <w:uiPriority w:val="0"/>
    <w:rPr>
      <w:bdr w:val="single" w:color="DC4446" w:sz="6" w:space="0"/>
      <w:shd w:val="clear" w:fill="A9E2FF"/>
    </w:rPr>
  </w:style>
  <w:style w:type="character" w:customStyle="1" w:styleId="56">
    <w:name w:val="wea-thumbnails-doc-content-subtitle"/>
    <w:basedOn w:val="20"/>
    <w:qFormat/>
    <w:uiPriority w:val="0"/>
    <w:rPr>
      <w:color w:val="9A9A9A"/>
    </w:rPr>
  </w:style>
  <w:style w:type="character" w:customStyle="1" w:styleId="57">
    <w:name w:val="ant-select-tree-switcher"/>
    <w:basedOn w:val="20"/>
    <w:qFormat/>
    <w:uiPriority w:val="0"/>
  </w:style>
  <w:style w:type="character" w:customStyle="1" w:styleId="58">
    <w:name w:val="ant-select-tree-iconele"/>
    <w:basedOn w:val="20"/>
    <w:qFormat/>
    <w:uiPriority w:val="0"/>
  </w:style>
  <w:style w:type="character" w:customStyle="1" w:styleId="59">
    <w:name w:val="first-of-type"/>
    <w:basedOn w:val="20"/>
    <w:qFormat/>
    <w:uiPriority w:val="0"/>
    <w:rPr>
      <w:color w:val="FF0000"/>
    </w:rPr>
  </w:style>
  <w:style w:type="character" w:customStyle="1" w:styleId="60">
    <w:name w:val="first-of-type1"/>
    <w:basedOn w:val="20"/>
    <w:qFormat/>
    <w:uiPriority w:val="0"/>
    <w:rPr>
      <w:color w:val="FF0000"/>
    </w:rPr>
  </w:style>
  <w:style w:type="character" w:customStyle="1" w:styleId="61">
    <w:name w:val="tmpztreemove_arrow"/>
    <w:basedOn w:val="20"/>
    <w:qFormat/>
    <w:uiPriority w:val="0"/>
  </w:style>
  <w:style w:type="character" w:customStyle="1" w:styleId="62">
    <w:name w:val="ant-tree-checkbox"/>
    <w:basedOn w:val="20"/>
    <w:qFormat/>
    <w:uiPriority w:val="0"/>
  </w:style>
  <w:style w:type="character" w:customStyle="1" w:styleId="63">
    <w:name w:val="ant-select-tree-checkbox2"/>
    <w:basedOn w:val="20"/>
    <w:qFormat/>
    <w:uiPriority w:val="0"/>
  </w:style>
  <w:style w:type="character" w:customStyle="1" w:styleId="64">
    <w:name w:val="font91"/>
    <w:basedOn w:val="20"/>
    <w:qFormat/>
    <w:uiPriority w:val="0"/>
    <w:rPr>
      <w:rFonts w:hint="eastAsia" w:ascii="仿宋" w:hAnsi="仿宋" w:eastAsia="仿宋" w:cs="仿宋"/>
      <w:b/>
      <w:color w:val="000000"/>
      <w:sz w:val="24"/>
      <w:szCs w:val="24"/>
      <w:u w:val="none"/>
    </w:rPr>
  </w:style>
  <w:style w:type="character" w:customStyle="1" w:styleId="65">
    <w:name w:val="font21"/>
    <w:basedOn w:val="20"/>
    <w:qFormat/>
    <w:uiPriority w:val="0"/>
    <w:rPr>
      <w:rFonts w:ascii="font-weight : 400" w:hAnsi="font-weight : 400" w:eastAsia="font-weight : 400" w:cs="font-weight : 400"/>
      <w:color w:val="000000"/>
      <w:sz w:val="22"/>
      <w:szCs w:val="22"/>
      <w:u w:val="single"/>
    </w:rPr>
  </w:style>
  <w:style w:type="character" w:customStyle="1" w:styleId="66">
    <w:name w:val="font11"/>
    <w:basedOn w:val="20"/>
    <w:qFormat/>
    <w:uiPriority w:val="0"/>
    <w:rPr>
      <w:rFonts w:hint="default" w:ascii="font-weight : 400" w:hAnsi="font-weight : 400" w:eastAsia="font-weight : 400" w:cs="font-weight : 400"/>
      <w:color w:val="000000"/>
      <w:sz w:val="22"/>
      <w:szCs w:val="22"/>
      <w:u w:val="none"/>
    </w:rPr>
  </w:style>
  <w:style w:type="paragraph" w:customStyle="1" w:styleId="67">
    <w:name w:val="p15"/>
    <w:basedOn w:val="1"/>
    <w:qFormat/>
    <w:uiPriority w:val="0"/>
    <w:pPr>
      <w:widowControl/>
      <w:snapToGrid w:val="0"/>
      <w:jc w:val="left"/>
    </w:pPr>
    <w:rPr>
      <w:rFonts w:ascii="仿宋_GB2312" w:hAnsi="宋体" w:eastAsia="仿宋_GB2312" w:cs="宋体"/>
      <w:color w:val="000000"/>
      <w:kern w:val="0"/>
      <w:sz w:val="24"/>
      <w:szCs w:val="24"/>
    </w:rPr>
  </w:style>
  <w:style w:type="character" w:customStyle="1" w:styleId="68">
    <w:name w:val="16"/>
    <w:qFormat/>
    <w:uiPriority w:val="0"/>
    <w:rPr>
      <w:rFonts w:hint="default" w:ascii="Times New Roman" w:hAnsi="Times New Roman"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崖州区</Company>
  <Pages>22</Pages>
  <Words>8144</Words>
  <Characters>8309</Characters>
  <Lines>6</Lines>
  <Paragraphs>1</Paragraphs>
  <TotalTime>3</TotalTime>
  <ScaleCrop>false</ScaleCrop>
  <LinksUpToDate>false</LinksUpToDate>
  <CharactersWithSpaces>8531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2019-12-16T07:51:00Z</dcterms:created>
  <dc:creator>苑铮</dc:creator>
  <cp:lastModifiedBy>管理局发文员</cp:lastModifiedBy>
  <cp:lastPrinted>2022-10-01T02:45:00Z</cp:lastPrinted>
  <dcterms:modified xsi:type="dcterms:W3CDTF">2026-02-28T08:22:16Z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